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16605" w14:textId="77777777" w:rsidR="00686CB0" w:rsidRPr="00302BEE" w:rsidRDefault="000D7CD2" w:rsidP="009406FD">
      <w:pPr>
        <w:jc w:val="center"/>
        <w:rPr>
          <w:rFonts w:asciiTheme="majorHAnsi" w:hAnsiTheme="majorHAnsi"/>
          <w:b/>
          <w:sz w:val="36"/>
          <w:szCs w:val="24"/>
          <w:u w:val="single"/>
        </w:rPr>
      </w:pPr>
      <w:r w:rsidRPr="00302BEE">
        <w:rPr>
          <w:rFonts w:asciiTheme="majorHAnsi" w:hAnsiTheme="majorHAnsi"/>
          <w:b/>
          <w:sz w:val="36"/>
          <w:szCs w:val="24"/>
          <w:u w:val="single"/>
        </w:rPr>
        <w:t>CHALLANENGES FACED BY EXPORTERS</w:t>
      </w:r>
      <w:r w:rsidR="00D67E93" w:rsidRPr="00302BEE">
        <w:rPr>
          <w:rFonts w:asciiTheme="majorHAnsi" w:hAnsiTheme="majorHAnsi"/>
          <w:b/>
          <w:sz w:val="36"/>
          <w:szCs w:val="24"/>
          <w:u w:val="single"/>
        </w:rPr>
        <w:t xml:space="preserve"> </w:t>
      </w:r>
    </w:p>
    <w:p w14:paraId="4595869D" w14:textId="037CD0AD" w:rsidR="00C11D7A" w:rsidRPr="00C63693" w:rsidRDefault="00C63693" w:rsidP="009406FD">
      <w:pPr>
        <w:jc w:val="center"/>
        <w:rPr>
          <w:rFonts w:asciiTheme="majorHAnsi" w:hAnsiTheme="majorHAnsi"/>
          <w:b/>
          <w:i/>
          <w:sz w:val="32"/>
          <w:szCs w:val="24"/>
        </w:rPr>
      </w:pPr>
      <w:r w:rsidRPr="00C63693">
        <w:rPr>
          <w:rFonts w:asciiTheme="majorHAnsi" w:hAnsiTheme="majorHAnsi"/>
          <w:b/>
          <w:i/>
          <w:sz w:val="32"/>
          <w:szCs w:val="24"/>
        </w:rPr>
        <w:t>(June, 2018)</w:t>
      </w:r>
    </w:p>
    <w:p w14:paraId="1459FC5F" w14:textId="77777777" w:rsidR="0005413D" w:rsidRPr="00ED5A42" w:rsidRDefault="0005413D" w:rsidP="0005413D">
      <w:pPr>
        <w:pStyle w:val="ListParagraph"/>
        <w:numPr>
          <w:ilvl w:val="0"/>
          <w:numId w:val="1"/>
        </w:numPr>
        <w:pBdr>
          <w:top w:val="single" w:sz="4" w:space="1" w:color="auto"/>
          <w:left w:val="single" w:sz="4" w:space="4" w:color="auto"/>
          <w:bottom w:val="single" w:sz="4" w:space="1" w:color="auto"/>
          <w:right w:val="single" w:sz="4" w:space="4" w:color="auto"/>
        </w:pBdr>
        <w:spacing w:line="360" w:lineRule="auto"/>
        <w:ind w:left="270"/>
        <w:jc w:val="both"/>
        <w:rPr>
          <w:rFonts w:asciiTheme="majorHAnsi" w:hAnsiTheme="majorHAnsi"/>
          <w:b/>
          <w:sz w:val="24"/>
          <w:szCs w:val="24"/>
        </w:rPr>
      </w:pPr>
      <w:r w:rsidRPr="00ED5A42">
        <w:rPr>
          <w:rFonts w:asciiTheme="majorHAnsi" w:hAnsiTheme="majorHAnsi"/>
          <w:b/>
          <w:sz w:val="24"/>
          <w:szCs w:val="24"/>
        </w:rPr>
        <w:t xml:space="preserve">Primer: </w:t>
      </w:r>
    </w:p>
    <w:p w14:paraId="5B3378FD" w14:textId="6ED26A18" w:rsidR="00046894" w:rsidRPr="00ED5A42" w:rsidRDefault="0005413D" w:rsidP="0005413D">
      <w:pPr>
        <w:jc w:val="both"/>
        <w:rPr>
          <w:rFonts w:asciiTheme="majorHAnsi" w:hAnsiTheme="majorHAnsi"/>
          <w:sz w:val="24"/>
          <w:szCs w:val="24"/>
        </w:rPr>
      </w:pPr>
      <w:r w:rsidRPr="00ED5A42">
        <w:rPr>
          <w:rFonts w:asciiTheme="majorHAnsi" w:hAnsiTheme="majorHAnsi"/>
          <w:sz w:val="24"/>
          <w:szCs w:val="24"/>
        </w:rPr>
        <w:t>After introduction of GST from July 2018, exporters were facing lot</w:t>
      </w:r>
      <w:r w:rsidR="005F5792">
        <w:rPr>
          <w:rFonts w:asciiTheme="majorHAnsi" w:hAnsiTheme="majorHAnsi"/>
          <w:sz w:val="24"/>
          <w:szCs w:val="24"/>
        </w:rPr>
        <w:t>s</w:t>
      </w:r>
      <w:r w:rsidRPr="00ED5A42">
        <w:rPr>
          <w:rFonts w:asciiTheme="majorHAnsi" w:hAnsiTheme="majorHAnsi"/>
          <w:sz w:val="24"/>
          <w:szCs w:val="24"/>
        </w:rPr>
        <w:t xml:space="preserve"> of challenges more specifically on the compliances and the refund of taxes. Though compliances </w:t>
      </w:r>
      <w:r w:rsidR="005F5792">
        <w:rPr>
          <w:rFonts w:asciiTheme="majorHAnsi" w:hAnsiTheme="majorHAnsi"/>
          <w:sz w:val="24"/>
          <w:szCs w:val="24"/>
        </w:rPr>
        <w:t>were</w:t>
      </w:r>
      <w:r w:rsidRPr="00ED5A42">
        <w:rPr>
          <w:rFonts w:asciiTheme="majorHAnsi" w:hAnsiTheme="majorHAnsi"/>
          <w:sz w:val="24"/>
          <w:szCs w:val="24"/>
        </w:rPr>
        <w:t xml:space="preserve"> </w:t>
      </w:r>
      <w:r w:rsidR="00046894" w:rsidRPr="00ED5A42">
        <w:rPr>
          <w:rFonts w:asciiTheme="majorHAnsi" w:hAnsiTheme="majorHAnsi"/>
          <w:sz w:val="24"/>
          <w:szCs w:val="24"/>
        </w:rPr>
        <w:t>toned down</w:t>
      </w:r>
      <w:r w:rsidRPr="00ED5A42">
        <w:rPr>
          <w:rFonts w:asciiTheme="majorHAnsi" w:hAnsiTheme="majorHAnsi"/>
          <w:sz w:val="24"/>
          <w:szCs w:val="24"/>
        </w:rPr>
        <w:t xml:space="preserve"> </w:t>
      </w:r>
      <w:r w:rsidR="00046894" w:rsidRPr="00ED5A42">
        <w:rPr>
          <w:rFonts w:asciiTheme="majorHAnsi" w:hAnsiTheme="majorHAnsi"/>
          <w:sz w:val="24"/>
          <w:szCs w:val="24"/>
        </w:rPr>
        <w:t xml:space="preserve">through various measures such as </w:t>
      </w:r>
      <w:r w:rsidRPr="00ED5A42">
        <w:rPr>
          <w:rFonts w:asciiTheme="majorHAnsi" w:hAnsiTheme="majorHAnsi"/>
          <w:sz w:val="24"/>
          <w:szCs w:val="24"/>
        </w:rPr>
        <w:t>reducing the number of returns, no tax on advances received for supply of goods, granting exemption from payment under Reverse charge</w:t>
      </w:r>
      <w:r w:rsidR="00046894" w:rsidRPr="00ED5A42">
        <w:rPr>
          <w:rFonts w:asciiTheme="majorHAnsi" w:hAnsiTheme="majorHAnsi"/>
          <w:sz w:val="24"/>
          <w:szCs w:val="24"/>
        </w:rPr>
        <w:t xml:space="preserve"> for procurements from unregistered dealers</w:t>
      </w:r>
      <w:r w:rsidRPr="00ED5A42">
        <w:rPr>
          <w:rFonts w:asciiTheme="majorHAnsi" w:hAnsiTheme="majorHAnsi"/>
          <w:sz w:val="24"/>
          <w:szCs w:val="24"/>
        </w:rPr>
        <w:t xml:space="preserve"> </w:t>
      </w:r>
      <w:r w:rsidR="00046894" w:rsidRPr="00ED5A42">
        <w:rPr>
          <w:rFonts w:asciiTheme="majorHAnsi" w:hAnsiTheme="majorHAnsi"/>
          <w:sz w:val="24"/>
          <w:szCs w:val="24"/>
        </w:rPr>
        <w:t>up to</w:t>
      </w:r>
      <w:r w:rsidRPr="00ED5A42">
        <w:rPr>
          <w:rFonts w:asciiTheme="majorHAnsi" w:hAnsiTheme="majorHAnsi"/>
          <w:sz w:val="24"/>
          <w:szCs w:val="24"/>
        </w:rPr>
        <w:t xml:space="preserve"> 30</w:t>
      </w:r>
      <w:r w:rsidRPr="00ED5A42">
        <w:rPr>
          <w:rFonts w:asciiTheme="majorHAnsi" w:hAnsiTheme="majorHAnsi"/>
          <w:sz w:val="24"/>
          <w:szCs w:val="24"/>
          <w:vertAlign w:val="superscript"/>
        </w:rPr>
        <w:t>th</w:t>
      </w:r>
      <w:r w:rsidRPr="00ED5A42">
        <w:rPr>
          <w:rFonts w:asciiTheme="majorHAnsi" w:hAnsiTheme="majorHAnsi"/>
          <w:sz w:val="24"/>
          <w:szCs w:val="24"/>
        </w:rPr>
        <w:t xml:space="preserve"> of June 2018, </w:t>
      </w:r>
      <w:r w:rsidR="00B309ED" w:rsidRPr="00ED5A42">
        <w:rPr>
          <w:rFonts w:asciiTheme="majorHAnsi" w:hAnsiTheme="majorHAnsi"/>
          <w:sz w:val="24"/>
          <w:szCs w:val="24"/>
        </w:rPr>
        <w:t>etc.</w:t>
      </w:r>
      <w:r w:rsidR="00046894" w:rsidRPr="00ED5A42">
        <w:rPr>
          <w:rFonts w:asciiTheme="majorHAnsi" w:hAnsiTheme="majorHAnsi"/>
          <w:sz w:val="24"/>
          <w:szCs w:val="24"/>
        </w:rPr>
        <w:t xml:space="preserve"> mode of getting refunds for exports were not available in the portal till the mid of October 2017</w:t>
      </w:r>
      <w:r w:rsidRPr="00ED5A42">
        <w:rPr>
          <w:rFonts w:asciiTheme="majorHAnsi" w:hAnsiTheme="majorHAnsi"/>
          <w:sz w:val="24"/>
          <w:szCs w:val="24"/>
        </w:rPr>
        <w:t>.</w:t>
      </w:r>
      <w:r w:rsidR="00046894" w:rsidRPr="00ED5A42">
        <w:rPr>
          <w:rFonts w:asciiTheme="majorHAnsi" w:hAnsiTheme="majorHAnsi"/>
          <w:sz w:val="24"/>
          <w:szCs w:val="24"/>
        </w:rPr>
        <w:t xml:space="preserve"> </w:t>
      </w:r>
    </w:p>
    <w:p w14:paraId="60B56FC1" w14:textId="57DFC5D3" w:rsidR="00046894" w:rsidRPr="00ED5A42" w:rsidRDefault="00046894" w:rsidP="0005413D">
      <w:pPr>
        <w:jc w:val="both"/>
        <w:rPr>
          <w:rFonts w:asciiTheme="majorHAnsi" w:hAnsiTheme="majorHAnsi"/>
          <w:sz w:val="24"/>
          <w:szCs w:val="24"/>
        </w:rPr>
      </w:pPr>
      <w:r w:rsidRPr="00ED5A42">
        <w:rPr>
          <w:rFonts w:asciiTheme="majorHAnsi" w:hAnsiTheme="majorHAnsi"/>
          <w:sz w:val="24"/>
          <w:szCs w:val="24"/>
        </w:rPr>
        <w:t xml:space="preserve">Even after </w:t>
      </w:r>
      <w:r w:rsidR="00B309ED" w:rsidRPr="00ED5A42">
        <w:rPr>
          <w:rFonts w:asciiTheme="majorHAnsi" w:hAnsiTheme="majorHAnsi"/>
          <w:sz w:val="24"/>
          <w:szCs w:val="24"/>
        </w:rPr>
        <w:t>delayed</w:t>
      </w:r>
      <w:r w:rsidRPr="00ED5A42">
        <w:rPr>
          <w:rFonts w:asciiTheme="majorHAnsi" w:hAnsiTheme="majorHAnsi"/>
          <w:sz w:val="24"/>
          <w:szCs w:val="24"/>
        </w:rPr>
        <w:t xml:space="preserve"> availability, there </w:t>
      </w:r>
      <w:r w:rsidR="005F5792">
        <w:rPr>
          <w:rFonts w:asciiTheme="majorHAnsi" w:hAnsiTheme="majorHAnsi"/>
          <w:sz w:val="24"/>
          <w:szCs w:val="24"/>
        </w:rPr>
        <w:t>were</w:t>
      </w:r>
      <w:r w:rsidR="005F5792" w:rsidRPr="00ED5A42">
        <w:rPr>
          <w:rFonts w:asciiTheme="majorHAnsi" w:hAnsiTheme="majorHAnsi"/>
          <w:sz w:val="24"/>
          <w:szCs w:val="24"/>
        </w:rPr>
        <w:t xml:space="preserve"> </w:t>
      </w:r>
      <w:r w:rsidRPr="00ED5A42">
        <w:rPr>
          <w:rFonts w:asciiTheme="majorHAnsi" w:hAnsiTheme="majorHAnsi"/>
          <w:sz w:val="24"/>
          <w:szCs w:val="24"/>
        </w:rPr>
        <w:t>lot of technical glitches that forced the department to issue another circular for avail</w:t>
      </w:r>
      <w:r w:rsidR="00B309ED" w:rsidRPr="00ED5A42">
        <w:rPr>
          <w:rFonts w:asciiTheme="majorHAnsi" w:hAnsiTheme="majorHAnsi"/>
          <w:sz w:val="24"/>
          <w:szCs w:val="24"/>
        </w:rPr>
        <w:t>ing refunds of ITC under a manual route as an intermediate measure.</w:t>
      </w:r>
    </w:p>
    <w:p w14:paraId="2B8D23E5" w14:textId="08662A16" w:rsidR="00F27A83" w:rsidRPr="00ED5A42" w:rsidRDefault="00B309ED" w:rsidP="0005413D">
      <w:pPr>
        <w:jc w:val="both"/>
        <w:rPr>
          <w:rFonts w:asciiTheme="majorHAnsi" w:hAnsiTheme="majorHAnsi"/>
          <w:sz w:val="24"/>
          <w:szCs w:val="24"/>
        </w:rPr>
      </w:pPr>
      <w:r w:rsidRPr="00ED5A42">
        <w:rPr>
          <w:rFonts w:asciiTheme="majorHAnsi" w:hAnsiTheme="majorHAnsi"/>
          <w:sz w:val="24"/>
          <w:szCs w:val="24"/>
        </w:rPr>
        <w:t xml:space="preserve">However </w:t>
      </w:r>
      <w:r w:rsidR="005F5792">
        <w:rPr>
          <w:rFonts w:asciiTheme="majorHAnsi" w:hAnsiTheme="majorHAnsi"/>
          <w:sz w:val="24"/>
          <w:szCs w:val="24"/>
        </w:rPr>
        <w:t>exporters continue to face challenges</w:t>
      </w:r>
      <w:r w:rsidRPr="00ED5A42">
        <w:rPr>
          <w:rFonts w:asciiTheme="majorHAnsi" w:hAnsiTheme="majorHAnsi"/>
          <w:sz w:val="24"/>
          <w:szCs w:val="24"/>
        </w:rPr>
        <w:t xml:space="preserve">. </w:t>
      </w:r>
      <w:r w:rsidR="005F5792">
        <w:rPr>
          <w:rFonts w:asciiTheme="majorHAnsi" w:hAnsiTheme="majorHAnsi"/>
          <w:sz w:val="24"/>
          <w:szCs w:val="24"/>
        </w:rPr>
        <w:t xml:space="preserve"> While t</w:t>
      </w:r>
      <w:r w:rsidR="00F27A83" w:rsidRPr="00ED5A42">
        <w:rPr>
          <w:rFonts w:asciiTheme="majorHAnsi" w:hAnsiTheme="majorHAnsi"/>
          <w:sz w:val="24"/>
          <w:szCs w:val="24"/>
        </w:rPr>
        <w:t xml:space="preserve">he intention of the government </w:t>
      </w:r>
      <w:r w:rsidR="005F5792">
        <w:rPr>
          <w:rFonts w:asciiTheme="majorHAnsi" w:hAnsiTheme="majorHAnsi"/>
          <w:sz w:val="24"/>
          <w:szCs w:val="24"/>
        </w:rPr>
        <w:t>was improve ease of obtaining refunds, this has not been appreciated as field formations continue to insist on needless</w:t>
      </w:r>
      <w:r w:rsidR="00F27A83" w:rsidRPr="00ED5A42">
        <w:rPr>
          <w:rFonts w:asciiTheme="majorHAnsi" w:hAnsiTheme="majorHAnsi"/>
          <w:sz w:val="24"/>
          <w:szCs w:val="24"/>
        </w:rPr>
        <w:t xml:space="preserve"> documentation, most of which are </w:t>
      </w:r>
      <w:r w:rsidR="005F5792">
        <w:rPr>
          <w:rFonts w:asciiTheme="majorHAnsi" w:hAnsiTheme="majorHAnsi"/>
          <w:sz w:val="24"/>
          <w:szCs w:val="24"/>
        </w:rPr>
        <w:t xml:space="preserve">anyway </w:t>
      </w:r>
      <w:r w:rsidR="00F27A83" w:rsidRPr="00ED5A42">
        <w:rPr>
          <w:rFonts w:asciiTheme="majorHAnsi" w:hAnsiTheme="majorHAnsi"/>
          <w:sz w:val="24"/>
          <w:szCs w:val="24"/>
        </w:rPr>
        <w:t xml:space="preserve">accessible online!! </w:t>
      </w:r>
    </w:p>
    <w:p w14:paraId="233B94B7" w14:textId="01C5A485" w:rsidR="00560D12" w:rsidRPr="00252D26" w:rsidRDefault="00560D12" w:rsidP="00252D26">
      <w:pPr>
        <w:pBdr>
          <w:top w:val="single" w:sz="4" w:space="1" w:color="auto"/>
          <w:left w:val="single" w:sz="4" w:space="4" w:color="auto"/>
          <w:bottom w:val="single" w:sz="4" w:space="1" w:color="auto"/>
          <w:right w:val="single" w:sz="4" w:space="4" w:color="auto"/>
        </w:pBdr>
        <w:jc w:val="both"/>
        <w:rPr>
          <w:rFonts w:asciiTheme="majorHAnsi" w:hAnsiTheme="majorHAnsi"/>
          <w:b/>
          <w:sz w:val="24"/>
          <w:szCs w:val="24"/>
        </w:rPr>
      </w:pPr>
      <w:r w:rsidRPr="00252D26">
        <w:rPr>
          <w:rFonts w:asciiTheme="majorHAnsi" w:hAnsiTheme="majorHAnsi"/>
          <w:b/>
          <w:sz w:val="24"/>
          <w:szCs w:val="24"/>
        </w:rPr>
        <w:t>2.  Manual application or Hybrid?</w:t>
      </w:r>
    </w:p>
    <w:p w14:paraId="60A6C76E" w14:textId="3AF5B4E9" w:rsidR="00B309ED" w:rsidRPr="00ED5A42" w:rsidRDefault="00F27A83" w:rsidP="0005413D">
      <w:pPr>
        <w:jc w:val="both"/>
        <w:rPr>
          <w:rFonts w:asciiTheme="majorHAnsi" w:hAnsiTheme="majorHAnsi"/>
          <w:sz w:val="24"/>
          <w:szCs w:val="24"/>
        </w:rPr>
      </w:pPr>
      <w:r w:rsidRPr="00ED5A42">
        <w:rPr>
          <w:rFonts w:asciiTheme="majorHAnsi" w:hAnsiTheme="majorHAnsi"/>
          <w:sz w:val="24"/>
          <w:szCs w:val="24"/>
        </w:rPr>
        <w:t xml:space="preserve">Though the department may call it as manual route of refund, </w:t>
      </w:r>
      <w:r w:rsidR="00560D12">
        <w:rPr>
          <w:rFonts w:asciiTheme="majorHAnsi" w:hAnsiTheme="majorHAnsi"/>
          <w:sz w:val="24"/>
          <w:szCs w:val="24"/>
        </w:rPr>
        <w:t>it is perhaps appropriate to call it</w:t>
      </w:r>
      <w:r w:rsidRPr="00ED5A42">
        <w:rPr>
          <w:rFonts w:asciiTheme="majorHAnsi" w:hAnsiTheme="majorHAnsi"/>
          <w:sz w:val="24"/>
          <w:szCs w:val="24"/>
        </w:rPr>
        <w:t xml:space="preserve"> </w:t>
      </w:r>
      <w:r w:rsidR="00560D12">
        <w:rPr>
          <w:rFonts w:asciiTheme="majorHAnsi" w:hAnsiTheme="majorHAnsi"/>
          <w:sz w:val="24"/>
          <w:szCs w:val="24"/>
        </w:rPr>
        <w:t>‘</w:t>
      </w:r>
      <w:r w:rsidRPr="00ED5A42">
        <w:rPr>
          <w:rFonts w:asciiTheme="majorHAnsi" w:hAnsiTheme="majorHAnsi"/>
          <w:sz w:val="24"/>
          <w:szCs w:val="24"/>
        </w:rPr>
        <w:t>hybrid</w:t>
      </w:r>
      <w:r w:rsidR="00560D12">
        <w:rPr>
          <w:rFonts w:asciiTheme="majorHAnsi" w:hAnsiTheme="majorHAnsi"/>
          <w:sz w:val="24"/>
          <w:szCs w:val="24"/>
        </w:rPr>
        <w:t>’</w:t>
      </w:r>
      <w:r w:rsidRPr="00ED5A42">
        <w:rPr>
          <w:rFonts w:asciiTheme="majorHAnsi" w:hAnsiTheme="majorHAnsi"/>
          <w:sz w:val="24"/>
          <w:szCs w:val="24"/>
        </w:rPr>
        <w:t xml:space="preserve"> as it required the exporters to file refund </w:t>
      </w:r>
      <w:r w:rsidR="00560D12">
        <w:rPr>
          <w:rFonts w:asciiTheme="majorHAnsi" w:hAnsiTheme="majorHAnsi"/>
          <w:sz w:val="24"/>
          <w:szCs w:val="24"/>
        </w:rPr>
        <w:t>electronically and manually</w:t>
      </w:r>
      <w:r w:rsidRPr="00ED5A42">
        <w:rPr>
          <w:rFonts w:asciiTheme="majorHAnsi" w:hAnsiTheme="majorHAnsi"/>
          <w:sz w:val="24"/>
          <w:szCs w:val="24"/>
        </w:rPr>
        <w:t>:</w:t>
      </w:r>
    </w:p>
    <w:p w14:paraId="793DAC7C" w14:textId="7F2A1C57" w:rsidR="00F27A83" w:rsidRPr="00ED5A42" w:rsidRDefault="00F27A83" w:rsidP="00F27A83">
      <w:pPr>
        <w:pStyle w:val="ListParagraph"/>
        <w:numPr>
          <w:ilvl w:val="0"/>
          <w:numId w:val="7"/>
        </w:numPr>
        <w:jc w:val="both"/>
        <w:rPr>
          <w:rFonts w:asciiTheme="majorHAnsi" w:hAnsiTheme="majorHAnsi"/>
          <w:sz w:val="24"/>
          <w:szCs w:val="24"/>
        </w:rPr>
      </w:pPr>
      <w:r w:rsidRPr="00ED5A42">
        <w:rPr>
          <w:rFonts w:asciiTheme="majorHAnsi" w:hAnsiTheme="majorHAnsi"/>
          <w:sz w:val="24"/>
          <w:szCs w:val="24"/>
        </w:rPr>
        <w:t>File GST RFD 01A form online – where in the maximum permissible refund for a month is computed</w:t>
      </w:r>
      <w:r w:rsidR="00DF05DD" w:rsidRPr="00ED5A42">
        <w:rPr>
          <w:rFonts w:asciiTheme="majorHAnsi" w:hAnsiTheme="majorHAnsi"/>
          <w:sz w:val="24"/>
          <w:szCs w:val="24"/>
        </w:rPr>
        <w:t xml:space="preserve"> by the system </w:t>
      </w:r>
      <w:r w:rsidR="00DF05DD" w:rsidRPr="00ED5A42">
        <w:rPr>
          <w:rFonts w:asciiTheme="majorHAnsi" w:hAnsiTheme="majorHAnsi"/>
          <w:i/>
          <w:sz w:val="24"/>
          <w:szCs w:val="24"/>
        </w:rPr>
        <w:t xml:space="preserve">(This </w:t>
      </w:r>
      <w:r w:rsidR="00867761">
        <w:rPr>
          <w:rFonts w:asciiTheme="majorHAnsi" w:hAnsiTheme="majorHAnsi"/>
          <w:i/>
          <w:sz w:val="24"/>
          <w:szCs w:val="24"/>
        </w:rPr>
        <w:t>itself has</w:t>
      </w:r>
      <w:r w:rsidR="00867761" w:rsidRPr="00ED5A42">
        <w:rPr>
          <w:rFonts w:asciiTheme="majorHAnsi" w:hAnsiTheme="majorHAnsi"/>
          <w:i/>
          <w:sz w:val="24"/>
          <w:szCs w:val="24"/>
        </w:rPr>
        <w:t xml:space="preserve"> </w:t>
      </w:r>
      <w:r w:rsidR="00DF05DD" w:rsidRPr="00ED5A42">
        <w:rPr>
          <w:rFonts w:asciiTheme="majorHAnsi" w:hAnsiTheme="majorHAnsi"/>
          <w:i/>
          <w:sz w:val="24"/>
          <w:szCs w:val="24"/>
        </w:rPr>
        <w:t>some limitations discussed in the article)</w:t>
      </w:r>
      <w:r w:rsidRPr="00ED5A42">
        <w:rPr>
          <w:rFonts w:asciiTheme="majorHAnsi" w:hAnsiTheme="majorHAnsi"/>
          <w:sz w:val="24"/>
          <w:szCs w:val="24"/>
        </w:rPr>
        <w:t xml:space="preserve"> and acknowledgment copy is generated</w:t>
      </w:r>
      <w:r w:rsidR="00DF05DD" w:rsidRPr="00ED5A42">
        <w:rPr>
          <w:rFonts w:asciiTheme="majorHAnsi" w:hAnsiTheme="majorHAnsi"/>
          <w:sz w:val="24"/>
          <w:szCs w:val="24"/>
        </w:rPr>
        <w:t xml:space="preserve"> </w:t>
      </w:r>
    </w:p>
    <w:p w14:paraId="4E0F15F8" w14:textId="598A252C" w:rsidR="00F27A83" w:rsidRPr="00ED5A42" w:rsidRDefault="00F27A83" w:rsidP="00F27A83">
      <w:pPr>
        <w:pStyle w:val="ListParagraph"/>
        <w:numPr>
          <w:ilvl w:val="0"/>
          <w:numId w:val="7"/>
        </w:numPr>
        <w:jc w:val="both"/>
        <w:rPr>
          <w:rFonts w:asciiTheme="majorHAnsi" w:hAnsiTheme="majorHAnsi"/>
          <w:i/>
          <w:sz w:val="24"/>
          <w:szCs w:val="24"/>
        </w:rPr>
      </w:pPr>
      <w:r w:rsidRPr="00ED5A42">
        <w:rPr>
          <w:rFonts w:asciiTheme="majorHAnsi" w:hAnsiTheme="majorHAnsi"/>
          <w:sz w:val="24"/>
          <w:szCs w:val="24"/>
        </w:rPr>
        <w:t xml:space="preserve">Take print out of acknowledgment copy, print out online RFD 01A form and </w:t>
      </w:r>
      <w:r w:rsidR="00560D12">
        <w:rPr>
          <w:rFonts w:asciiTheme="majorHAnsi" w:hAnsiTheme="majorHAnsi"/>
          <w:sz w:val="24"/>
          <w:szCs w:val="24"/>
        </w:rPr>
        <w:t>again</w:t>
      </w:r>
      <w:r w:rsidRPr="00ED5A42">
        <w:rPr>
          <w:rFonts w:asciiTheme="majorHAnsi" w:hAnsiTheme="majorHAnsi"/>
          <w:sz w:val="24"/>
          <w:szCs w:val="24"/>
        </w:rPr>
        <w:t xml:space="preserve"> prepare a manual RFD 01A form and fil</w:t>
      </w:r>
      <w:r w:rsidR="00560D12">
        <w:rPr>
          <w:rFonts w:asciiTheme="majorHAnsi" w:hAnsiTheme="majorHAnsi"/>
          <w:sz w:val="24"/>
          <w:szCs w:val="24"/>
        </w:rPr>
        <w:t>e</w:t>
      </w:r>
      <w:r w:rsidRPr="00ED5A42">
        <w:rPr>
          <w:rFonts w:asciiTheme="majorHAnsi" w:hAnsiTheme="majorHAnsi"/>
          <w:sz w:val="24"/>
          <w:szCs w:val="24"/>
        </w:rPr>
        <w:t xml:space="preserve"> everything with the jurisdictional officer along with required documents </w:t>
      </w:r>
      <w:r w:rsidRPr="00ED5A42">
        <w:rPr>
          <w:rFonts w:asciiTheme="majorHAnsi" w:hAnsiTheme="majorHAnsi"/>
          <w:i/>
          <w:sz w:val="24"/>
          <w:szCs w:val="24"/>
        </w:rPr>
        <w:t>(Documents?? – not notified initially)</w:t>
      </w:r>
    </w:p>
    <w:p w14:paraId="29844104" w14:textId="77777777" w:rsidR="00252D26" w:rsidRDefault="00560D12" w:rsidP="0005413D">
      <w:pPr>
        <w:jc w:val="both"/>
        <w:rPr>
          <w:rFonts w:asciiTheme="majorHAnsi" w:hAnsiTheme="majorHAnsi"/>
          <w:sz w:val="24"/>
          <w:szCs w:val="24"/>
        </w:rPr>
      </w:pPr>
      <w:r>
        <w:rPr>
          <w:rFonts w:asciiTheme="majorHAnsi" w:hAnsiTheme="majorHAnsi"/>
          <w:sz w:val="24"/>
          <w:szCs w:val="24"/>
        </w:rPr>
        <w:t xml:space="preserve">It is in the context </w:t>
      </w:r>
      <w:r w:rsidR="00252D26">
        <w:rPr>
          <w:rFonts w:asciiTheme="majorHAnsi" w:hAnsiTheme="majorHAnsi"/>
          <w:sz w:val="24"/>
          <w:szCs w:val="24"/>
        </w:rPr>
        <w:t>of this</w:t>
      </w:r>
      <w:r>
        <w:rPr>
          <w:rFonts w:asciiTheme="majorHAnsi" w:hAnsiTheme="majorHAnsi"/>
          <w:sz w:val="24"/>
          <w:szCs w:val="24"/>
        </w:rPr>
        <w:t xml:space="preserve"> ‘Hybrid’ route of refund that this </w:t>
      </w:r>
      <w:r w:rsidR="00252D26" w:rsidRPr="00ED5A42">
        <w:rPr>
          <w:rFonts w:asciiTheme="majorHAnsi" w:hAnsiTheme="majorHAnsi"/>
          <w:sz w:val="24"/>
          <w:szCs w:val="24"/>
        </w:rPr>
        <w:t>Article</w:t>
      </w:r>
      <w:r w:rsidR="00DF05DD" w:rsidRPr="00ED5A42">
        <w:rPr>
          <w:rFonts w:asciiTheme="majorHAnsi" w:hAnsiTheme="majorHAnsi"/>
          <w:sz w:val="24"/>
          <w:szCs w:val="24"/>
        </w:rPr>
        <w:t xml:space="preserve"> is </w:t>
      </w:r>
      <w:r>
        <w:rPr>
          <w:rFonts w:asciiTheme="majorHAnsi" w:hAnsiTheme="majorHAnsi"/>
          <w:sz w:val="24"/>
          <w:szCs w:val="24"/>
        </w:rPr>
        <w:t>written</w:t>
      </w:r>
      <w:r w:rsidRPr="00ED5A42">
        <w:rPr>
          <w:rFonts w:asciiTheme="majorHAnsi" w:hAnsiTheme="majorHAnsi"/>
          <w:sz w:val="24"/>
          <w:szCs w:val="24"/>
        </w:rPr>
        <w:t xml:space="preserve"> </w:t>
      </w:r>
      <w:r>
        <w:rPr>
          <w:rFonts w:asciiTheme="majorHAnsi" w:hAnsiTheme="majorHAnsi"/>
          <w:sz w:val="24"/>
          <w:szCs w:val="24"/>
        </w:rPr>
        <w:t>highlighting</w:t>
      </w:r>
      <w:r w:rsidR="00DF05DD" w:rsidRPr="00ED5A42">
        <w:rPr>
          <w:rFonts w:asciiTheme="majorHAnsi" w:hAnsiTheme="majorHAnsi"/>
          <w:sz w:val="24"/>
          <w:szCs w:val="24"/>
        </w:rPr>
        <w:t xml:space="preserve"> the continuing difficulties and challenges faced by the exporters</w:t>
      </w:r>
      <w:r>
        <w:rPr>
          <w:rFonts w:asciiTheme="majorHAnsi" w:hAnsiTheme="majorHAnsi"/>
          <w:sz w:val="24"/>
          <w:szCs w:val="24"/>
        </w:rPr>
        <w:t>.</w:t>
      </w:r>
    </w:p>
    <w:p w14:paraId="268E1C34" w14:textId="77777777" w:rsidR="00252D26" w:rsidRDefault="00252D26" w:rsidP="0005413D">
      <w:pPr>
        <w:jc w:val="both"/>
        <w:rPr>
          <w:rFonts w:asciiTheme="majorHAnsi" w:hAnsiTheme="majorHAnsi"/>
          <w:sz w:val="24"/>
          <w:szCs w:val="24"/>
        </w:rPr>
      </w:pPr>
    </w:p>
    <w:p w14:paraId="017F26FB" w14:textId="51BEFA1D" w:rsidR="00DF05DD" w:rsidRDefault="00560D12" w:rsidP="0005413D">
      <w:pPr>
        <w:jc w:val="both"/>
        <w:rPr>
          <w:rFonts w:asciiTheme="majorHAnsi" w:hAnsiTheme="majorHAnsi"/>
          <w:sz w:val="24"/>
          <w:szCs w:val="24"/>
        </w:rPr>
      </w:pPr>
      <w:r>
        <w:rPr>
          <w:rFonts w:asciiTheme="majorHAnsi" w:hAnsiTheme="majorHAnsi"/>
          <w:sz w:val="24"/>
          <w:szCs w:val="24"/>
        </w:rPr>
        <w:t xml:space="preserve"> </w:t>
      </w:r>
    </w:p>
    <w:p w14:paraId="665E3A36" w14:textId="77777777" w:rsidR="00C63693" w:rsidRDefault="00C63693" w:rsidP="0005413D">
      <w:pPr>
        <w:jc w:val="both"/>
        <w:rPr>
          <w:rFonts w:asciiTheme="majorHAnsi" w:hAnsiTheme="majorHAnsi"/>
          <w:sz w:val="24"/>
          <w:szCs w:val="24"/>
        </w:rPr>
      </w:pPr>
    </w:p>
    <w:p w14:paraId="47EC20C1" w14:textId="77777777" w:rsidR="00C63693" w:rsidRPr="00ED5A42" w:rsidRDefault="00C63693" w:rsidP="0005413D">
      <w:pPr>
        <w:jc w:val="both"/>
        <w:rPr>
          <w:rFonts w:asciiTheme="majorHAnsi" w:hAnsiTheme="majorHAnsi"/>
          <w:sz w:val="24"/>
          <w:szCs w:val="24"/>
        </w:rPr>
      </w:pPr>
    </w:p>
    <w:p w14:paraId="09E61E99" w14:textId="643DD432" w:rsidR="00D67E93" w:rsidRPr="00252D26" w:rsidRDefault="00560D12" w:rsidP="00252D26">
      <w:pPr>
        <w:pStyle w:val="ListParagraph"/>
        <w:numPr>
          <w:ilvl w:val="0"/>
          <w:numId w:val="8"/>
        </w:num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4"/>
          <w:szCs w:val="24"/>
        </w:rPr>
      </w:pPr>
      <w:r>
        <w:rPr>
          <w:rFonts w:asciiTheme="majorHAnsi" w:hAnsiTheme="majorHAnsi"/>
          <w:b/>
          <w:sz w:val="24"/>
          <w:szCs w:val="24"/>
        </w:rPr>
        <w:lastRenderedPageBreak/>
        <w:t xml:space="preserve"> </w:t>
      </w:r>
      <w:r w:rsidR="008D78F5" w:rsidRPr="00252D26">
        <w:rPr>
          <w:rFonts w:asciiTheme="majorHAnsi" w:hAnsiTheme="majorHAnsi"/>
          <w:b/>
          <w:sz w:val="24"/>
          <w:szCs w:val="24"/>
        </w:rPr>
        <w:t>Refund of ITC – Difficulties owing to Portal deficiencies</w:t>
      </w:r>
      <w:r w:rsidR="00D67E93" w:rsidRPr="00252D26">
        <w:rPr>
          <w:rFonts w:asciiTheme="majorHAnsi" w:hAnsiTheme="majorHAnsi"/>
          <w:b/>
          <w:sz w:val="24"/>
          <w:szCs w:val="24"/>
        </w:rPr>
        <w:t>:</w:t>
      </w:r>
    </w:p>
    <w:p w14:paraId="5C309538" w14:textId="77777777" w:rsidR="00D67E93" w:rsidRPr="00ED5A42" w:rsidRDefault="00D67E93" w:rsidP="00C11D7A">
      <w:pPr>
        <w:pStyle w:val="ListParagraph"/>
        <w:spacing w:line="360" w:lineRule="auto"/>
        <w:ind w:left="270"/>
        <w:jc w:val="both"/>
        <w:rPr>
          <w:rFonts w:asciiTheme="majorHAnsi" w:hAnsiTheme="majorHAnsi"/>
          <w:sz w:val="24"/>
          <w:szCs w:val="24"/>
        </w:rPr>
      </w:pPr>
    </w:p>
    <w:p w14:paraId="4ED963AE" w14:textId="77777777" w:rsidR="00D67E93" w:rsidRPr="00ED5A42" w:rsidRDefault="009406FD" w:rsidP="00C11D7A">
      <w:pPr>
        <w:pStyle w:val="ListParagraph"/>
        <w:spacing w:line="360" w:lineRule="auto"/>
        <w:ind w:left="270"/>
        <w:jc w:val="both"/>
        <w:rPr>
          <w:rFonts w:asciiTheme="majorHAnsi" w:hAnsiTheme="majorHAnsi"/>
          <w:sz w:val="24"/>
          <w:szCs w:val="24"/>
        </w:rPr>
      </w:pPr>
      <w:r w:rsidRPr="00ED5A42">
        <w:rPr>
          <w:rFonts w:asciiTheme="majorHAnsi" w:hAnsiTheme="majorHAnsi"/>
          <w:sz w:val="24"/>
          <w:szCs w:val="24"/>
        </w:rPr>
        <w:t>Exporters who had exports, but no ITC, or who had ITC but no exports in a particular tax period could not apply for refund</w:t>
      </w:r>
      <w:r w:rsidR="00CF19DF" w:rsidRPr="00ED5A42">
        <w:rPr>
          <w:rFonts w:asciiTheme="majorHAnsi" w:hAnsiTheme="majorHAnsi"/>
          <w:sz w:val="24"/>
          <w:szCs w:val="24"/>
        </w:rPr>
        <w:t xml:space="preserve"> for such tax periods</w:t>
      </w:r>
      <w:r w:rsidRPr="00ED5A42">
        <w:rPr>
          <w:rFonts w:asciiTheme="majorHAnsi" w:hAnsiTheme="majorHAnsi"/>
          <w:sz w:val="24"/>
          <w:szCs w:val="24"/>
        </w:rPr>
        <w:t>.  To overcome this difficulty, the</w:t>
      </w:r>
      <w:r w:rsidR="00CF19DF" w:rsidRPr="00ED5A42">
        <w:rPr>
          <w:rFonts w:asciiTheme="majorHAnsi" w:hAnsiTheme="majorHAnsi"/>
          <w:sz w:val="24"/>
          <w:szCs w:val="24"/>
        </w:rPr>
        <w:t xml:space="preserve"> C</w:t>
      </w:r>
      <w:r w:rsidR="00D67E93" w:rsidRPr="00ED5A42">
        <w:rPr>
          <w:rFonts w:asciiTheme="majorHAnsi" w:hAnsiTheme="majorHAnsi"/>
          <w:sz w:val="24"/>
          <w:szCs w:val="24"/>
        </w:rPr>
        <w:t>ircular</w:t>
      </w:r>
      <w:r w:rsidR="00CF19DF" w:rsidRPr="00ED5A42">
        <w:rPr>
          <w:rFonts w:asciiTheme="majorHAnsi" w:hAnsiTheme="majorHAnsi"/>
          <w:sz w:val="24"/>
          <w:szCs w:val="24"/>
        </w:rPr>
        <w:t xml:space="preserve"> 37</w:t>
      </w:r>
      <w:r w:rsidR="00D67E93" w:rsidRPr="00ED5A42">
        <w:rPr>
          <w:rFonts w:asciiTheme="majorHAnsi" w:hAnsiTheme="majorHAnsi"/>
          <w:sz w:val="24"/>
          <w:szCs w:val="24"/>
        </w:rPr>
        <w:t xml:space="preserve"> proposed an option of filing refund for </w:t>
      </w:r>
      <w:r w:rsidRPr="00ED5A42">
        <w:rPr>
          <w:rFonts w:asciiTheme="majorHAnsi" w:hAnsiTheme="majorHAnsi"/>
          <w:sz w:val="24"/>
          <w:szCs w:val="24"/>
        </w:rPr>
        <w:t xml:space="preserve">a </w:t>
      </w:r>
      <w:r w:rsidR="00D67E93" w:rsidRPr="00ED5A42">
        <w:rPr>
          <w:rFonts w:asciiTheme="majorHAnsi" w:hAnsiTheme="majorHAnsi"/>
          <w:sz w:val="24"/>
          <w:szCs w:val="24"/>
        </w:rPr>
        <w:t>quarter or by clubbing successive calendar months / quarters</w:t>
      </w:r>
      <w:r w:rsidR="002156AF" w:rsidRPr="00ED5A42">
        <w:rPr>
          <w:rFonts w:asciiTheme="majorHAnsi" w:hAnsiTheme="majorHAnsi"/>
          <w:sz w:val="24"/>
          <w:szCs w:val="24"/>
        </w:rPr>
        <w:t xml:space="preserve">. This was to the match the inputs of one tax period to its corresponding exports happening in the subsequent tax period or periods. </w:t>
      </w:r>
      <w:r w:rsidR="002156AF" w:rsidRPr="00ED5A42">
        <w:rPr>
          <w:rFonts w:asciiTheme="majorHAnsi" w:hAnsiTheme="majorHAnsi"/>
          <w:b/>
          <w:bCs/>
          <w:sz w:val="24"/>
          <w:szCs w:val="24"/>
        </w:rPr>
        <w:t xml:space="preserve">However the application on the common portal has not </w:t>
      </w:r>
      <w:r w:rsidRPr="00ED5A42">
        <w:rPr>
          <w:rFonts w:asciiTheme="majorHAnsi" w:hAnsiTheme="majorHAnsi"/>
          <w:b/>
          <w:bCs/>
          <w:sz w:val="24"/>
          <w:szCs w:val="24"/>
        </w:rPr>
        <w:t xml:space="preserve">been </w:t>
      </w:r>
      <w:r w:rsidR="002156AF" w:rsidRPr="00ED5A42">
        <w:rPr>
          <w:rFonts w:asciiTheme="majorHAnsi" w:hAnsiTheme="majorHAnsi"/>
          <w:b/>
          <w:bCs/>
          <w:sz w:val="24"/>
          <w:szCs w:val="24"/>
        </w:rPr>
        <w:t xml:space="preserve">updated to accept filing of refunds for </w:t>
      </w:r>
      <w:r w:rsidRPr="00ED5A42">
        <w:rPr>
          <w:rFonts w:asciiTheme="majorHAnsi" w:hAnsiTheme="majorHAnsi"/>
          <w:b/>
          <w:bCs/>
          <w:sz w:val="24"/>
          <w:szCs w:val="24"/>
        </w:rPr>
        <w:t>successive months/quarters</w:t>
      </w:r>
      <w:r w:rsidR="007403C7" w:rsidRPr="00ED5A42">
        <w:rPr>
          <w:rFonts w:asciiTheme="majorHAnsi" w:hAnsiTheme="majorHAnsi"/>
          <w:b/>
          <w:bCs/>
          <w:sz w:val="24"/>
          <w:szCs w:val="24"/>
        </w:rPr>
        <w:t>.</w:t>
      </w:r>
      <w:r w:rsidR="007403C7" w:rsidRPr="00ED5A42">
        <w:rPr>
          <w:rFonts w:asciiTheme="majorHAnsi" w:hAnsiTheme="majorHAnsi"/>
          <w:sz w:val="24"/>
          <w:szCs w:val="24"/>
        </w:rPr>
        <w:t xml:space="preserve"> </w:t>
      </w:r>
    </w:p>
    <w:p w14:paraId="04D1D7FE" w14:textId="77777777" w:rsidR="007403C7" w:rsidRPr="00ED5A42" w:rsidRDefault="007403C7" w:rsidP="00C11D7A">
      <w:pPr>
        <w:pStyle w:val="ListParagraph"/>
        <w:spacing w:line="360" w:lineRule="auto"/>
        <w:ind w:left="270"/>
        <w:jc w:val="both"/>
        <w:rPr>
          <w:rFonts w:asciiTheme="majorHAnsi" w:hAnsiTheme="majorHAnsi"/>
          <w:sz w:val="24"/>
          <w:szCs w:val="24"/>
        </w:rPr>
      </w:pPr>
    </w:p>
    <w:p w14:paraId="0157CD38" w14:textId="05392C8C" w:rsidR="007403C7" w:rsidRPr="00252D26" w:rsidRDefault="00560D12" w:rsidP="00252D26">
      <w:pPr>
        <w:pStyle w:val="ListParagraph"/>
        <w:numPr>
          <w:ilvl w:val="0"/>
          <w:numId w:val="8"/>
        </w:num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4"/>
          <w:szCs w:val="24"/>
        </w:rPr>
      </w:pPr>
      <w:r>
        <w:rPr>
          <w:rFonts w:asciiTheme="majorHAnsi" w:hAnsiTheme="majorHAnsi"/>
          <w:b/>
          <w:sz w:val="24"/>
          <w:szCs w:val="24"/>
        </w:rPr>
        <w:t xml:space="preserve"> </w:t>
      </w:r>
      <w:r w:rsidR="008D78F5" w:rsidRPr="00252D26">
        <w:rPr>
          <w:rFonts w:asciiTheme="majorHAnsi" w:hAnsiTheme="majorHAnsi"/>
          <w:b/>
          <w:sz w:val="24"/>
          <w:szCs w:val="24"/>
        </w:rPr>
        <w:t>Alternative to refund of ITC - Allow</w:t>
      </w:r>
      <w:r w:rsidR="007403C7" w:rsidRPr="00252D26">
        <w:rPr>
          <w:rFonts w:asciiTheme="majorHAnsi" w:hAnsiTheme="majorHAnsi"/>
          <w:b/>
          <w:sz w:val="24"/>
          <w:szCs w:val="24"/>
        </w:rPr>
        <w:t xml:space="preserve"> IGST </w:t>
      </w:r>
      <w:r w:rsidR="008D78F5" w:rsidRPr="00252D26">
        <w:rPr>
          <w:rFonts w:asciiTheme="majorHAnsi" w:hAnsiTheme="majorHAnsi"/>
          <w:b/>
          <w:sz w:val="24"/>
          <w:szCs w:val="24"/>
        </w:rPr>
        <w:t>paid</w:t>
      </w:r>
      <w:r w:rsidR="007403C7" w:rsidRPr="00252D26">
        <w:rPr>
          <w:rFonts w:asciiTheme="majorHAnsi" w:hAnsiTheme="majorHAnsi"/>
          <w:b/>
          <w:sz w:val="24"/>
          <w:szCs w:val="24"/>
        </w:rPr>
        <w:t xml:space="preserve"> route together with the Inverted duty structure route for Exporters of Leather:</w:t>
      </w:r>
    </w:p>
    <w:p w14:paraId="20689BB0" w14:textId="77777777" w:rsidR="00DF05DD" w:rsidRPr="00ED5A42" w:rsidRDefault="009406FD" w:rsidP="00C11D7A">
      <w:pPr>
        <w:spacing w:line="360" w:lineRule="auto"/>
        <w:ind w:left="270"/>
        <w:jc w:val="both"/>
        <w:rPr>
          <w:rFonts w:asciiTheme="majorHAnsi" w:hAnsiTheme="majorHAnsi"/>
          <w:sz w:val="24"/>
          <w:szCs w:val="24"/>
        </w:rPr>
      </w:pPr>
      <w:r w:rsidRPr="00ED5A42">
        <w:rPr>
          <w:rFonts w:asciiTheme="majorHAnsi" w:hAnsiTheme="majorHAnsi"/>
          <w:sz w:val="24"/>
          <w:szCs w:val="24"/>
        </w:rPr>
        <w:t xml:space="preserve">Exporters, </w:t>
      </w:r>
      <w:r w:rsidRPr="00ED5A42">
        <w:rPr>
          <w:rFonts w:asciiTheme="majorHAnsi" w:hAnsiTheme="majorHAnsi"/>
          <w:b/>
          <w:bCs/>
          <w:sz w:val="24"/>
          <w:szCs w:val="24"/>
        </w:rPr>
        <w:t>predominantly of finished leather</w:t>
      </w:r>
      <w:r w:rsidRPr="00ED5A42">
        <w:rPr>
          <w:rFonts w:asciiTheme="majorHAnsi" w:hAnsiTheme="majorHAnsi"/>
          <w:sz w:val="24"/>
          <w:szCs w:val="24"/>
        </w:rPr>
        <w:t xml:space="preserve"> are constrained to opt for refund of ITC rather than refund of IGST paid.  This is because the output liability falls short of the Input Tax Credit</w:t>
      </w:r>
      <w:r w:rsidR="00DF05DD" w:rsidRPr="00ED5A42">
        <w:rPr>
          <w:rFonts w:asciiTheme="majorHAnsi" w:hAnsiTheme="majorHAnsi"/>
          <w:sz w:val="24"/>
          <w:szCs w:val="24"/>
        </w:rPr>
        <w:t xml:space="preserve"> i.e., when exporters of leather go and claim GST under rebate route, they are eligible to get refunds to the extent of output tax rate of exports only. Because of this the ITC involved on a particular export transaction is not refunded fully. </w:t>
      </w:r>
    </w:p>
    <w:p w14:paraId="68296735" w14:textId="77777777" w:rsidR="009406FD" w:rsidRPr="00ED5A42" w:rsidRDefault="00DF05DD" w:rsidP="00C11D7A">
      <w:pPr>
        <w:spacing w:line="360" w:lineRule="auto"/>
        <w:ind w:left="270"/>
        <w:jc w:val="both"/>
        <w:rPr>
          <w:rFonts w:asciiTheme="majorHAnsi" w:hAnsiTheme="majorHAnsi"/>
          <w:sz w:val="24"/>
          <w:szCs w:val="24"/>
        </w:rPr>
      </w:pPr>
      <w:r w:rsidRPr="00ED5A42">
        <w:rPr>
          <w:rFonts w:asciiTheme="majorHAnsi" w:hAnsiTheme="majorHAnsi"/>
          <w:sz w:val="24"/>
          <w:szCs w:val="24"/>
        </w:rPr>
        <w:t>Further on the other hand, t</w:t>
      </w:r>
      <w:r w:rsidR="009406FD" w:rsidRPr="00ED5A42">
        <w:rPr>
          <w:rFonts w:asciiTheme="majorHAnsi" w:hAnsiTheme="majorHAnsi"/>
          <w:sz w:val="24"/>
          <w:szCs w:val="24"/>
        </w:rPr>
        <w:t>he process of obtaining refund of ITC under the Zero Rated Exports route, is not only time consuming, but tedious and saddled with very many documentary requirements.</w:t>
      </w:r>
    </w:p>
    <w:p w14:paraId="17695168" w14:textId="77777777" w:rsidR="003964F8" w:rsidRPr="00ED5A42" w:rsidRDefault="00CF19DF" w:rsidP="00C11D7A">
      <w:pPr>
        <w:spacing w:line="360" w:lineRule="auto"/>
        <w:ind w:left="270"/>
        <w:jc w:val="both"/>
        <w:rPr>
          <w:rFonts w:asciiTheme="majorHAnsi" w:hAnsiTheme="majorHAnsi"/>
          <w:sz w:val="24"/>
          <w:szCs w:val="24"/>
        </w:rPr>
      </w:pPr>
      <w:r w:rsidRPr="00ED5A42">
        <w:rPr>
          <w:rFonts w:asciiTheme="majorHAnsi" w:hAnsiTheme="majorHAnsi"/>
          <w:sz w:val="24"/>
          <w:szCs w:val="24"/>
        </w:rPr>
        <w:t>In this regard, we would like to make the following suggestion:</w:t>
      </w:r>
    </w:p>
    <w:p w14:paraId="3E64C937" w14:textId="77777777" w:rsidR="009406FD" w:rsidRPr="00ED5A42" w:rsidRDefault="009406FD" w:rsidP="00C11D7A">
      <w:pPr>
        <w:pStyle w:val="ListParagraph"/>
        <w:numPr>
          <w:ilvl w:val="0"/>
          <w:numId w:val="4"/>
        </w:numPr>
        <w:spacing w:line="360" w:lineRule="auto"/>
        <w:jc w:val="both"/>
        <w:rPr>
          <w:rFonts w:asciiTheme="majorHAnsi" w:hAnsiTheme="majorHAnsi"/>
          <w:sz w:val="24"/>
          <w:szCs w:val="24"/>
        </w:rPr>
      </w:pPr>
      <w:r w:rsidRPr="00ED5A42">
        <w:rPr>
          <w:rFonts w:asciiTheme="majorHAnsi" w:hAnsiTheme="majorHAnsi"/>
          <w:sz w:val="24"/>
          <w:szCs w:val="24"/>
        </w:rPr>
        <w:t>These exporters should apply for refund of the IGST paid.</w:t>
      </w:r>
    </w:p>
    <w:p w14:paraId="3B8812EE" w14:textId="77777777" w:rsidR="009406FD" w:rsidRPr="00ED5A42" w:rsidRDefault="009406FD" w:rsidP="00C11D7A">
      <w:pPr>
        <w:pStyle w:val="ListParagraph"/>
        <w:numPr>
          <w:ilvl w:val="0"/>
          <w:numId w:val="4"/>
        </w:numPr>
        <w:spacing w:line="360" w:lineRule="auto"/>
        <w:jc w:val="both"/>
        <w:rPr>
          <w:rFonts w:asciiTheme="majorHAnsi" w:hAnsiTheme="majorHAnsi"/>
          <w:sz w:val="24"/>
          <w:szCs w:val="24"/>
        </w:rPr>
      </w:pPr>
      <w:r w:rsidRPr="00ED5A42">
        <w:rPr>
          <w:rFonts w:asciiTheme="majorHAnsi" w:hAnsiTheme="majorHAnsi"/>
          <w:sz w:val="24"/>
          <w:szCs w:val="24"/>
        </w:rPr>
        <w:t xml:space="preserve">They shall also be permitted to apply for refund of left-over credit under the </w:t>
      </w:r>
      <w:r w:rsidR="00CF19DF" w:rsidRPr="00ED5A42">
        <w:rPr>
          <w:rFonts w:asciiTheme="majorHAnsi" w:hAnsiTheme="majorHAnsi"/>
          <w:sz w:val="24"/>
          <w:szCs w:val="24"/>
        </w:rPr>
        <w:t>I</w:t>
      </w:r>
      <w:r w:rsidRPr="00ED5A42">
        <w:rPr>
          <w:rFonts w:asciiTheme="majorHAnsi" w:hAnsiTheme="majorHAnsi"/>
          <w:sz w:val="24"/>
          <w:szCs w:val="24"/>
        </w:rPr>
        <w:t>nverted Duty Structure</w:t>
      </w:r>
      <w:r w:rsidR="00CF19DF" w:rsidRPr="00ED5A42">
        <w:rPr>
          <w:rFonts w:asciiTheme="majorHAnsi" w:hAnsiTheme="majorHAnsi"/>
          <w:sz w:val="24"/>
          <w:szCs w:val="24"/>
        </w:rPr>
        <w:t xml:space="preserve"> route.</w:t>
      </w:r>
    </w:p>
    <w:p w14:paraId="6E4B0708" w14:textId="77777777" w:rsidR="00CF19DF" w:rsidRPr="00ED5A42" w:rsidRDefault="00CF19DF" w:rsidP="00C11D7A">
      <w:pPr>
        <w:pStyle w:val="ListParagraph"/>
        <w:numPr>
          <w:ilvl w:val="0"/>
          <w:numId w:val="4"/>
        </w:numPr>
        <w:spacing w:line="360" w:lineRule="auto"/>
        <w:jc w:val="both"/>
        <w:rPr>
          <w:rFonts w:asciiTheme="majorHAnsi" w:hAnsiTheme="majorHAnsi"/>
          <w:sz w:val="24"/>
          <w:szCs w:val="24"/>
        </w:rPr>
      </w:pPr>
      <w:r w:rsidRPr="00ED5A42">
        <w:rPr>
          <w:rFonts w:asciiTheme="majorHAnsi" w:hAnsiTheme="majorHAnsi"/>
          <w:sz w:val="24"/>
          <w:szCs w:val="24"/>
        </w:rPr>
        <w:t>In other words, instead of opting for refund of ITC under Zero Rated Exports, the refund would be applied under 2 routes – IGST paid and Inverted Duty Structure.</w:t>
      </w:r>
    </w:p>
    <w:p w14:paraId="4F599E30" w14:textId="77777777" w:rsidR="00517491" w:rsidRPr="00ED5A42" w:rsidRDefault="00CF19DF" w:rsidP="00C11D7A">
      <w:pPr>
        <w:pStyle w:val="ListParagraph"/>
        <w:numPr>
          <w:ilvl w:val="0"/>
          <w:numId w:val="4"/>
        </w:numPr>
        <w:spacing w:line="360" w:lineRule="auto"/>
        <w:jc w:val="both"/>
        <w:rPr>
          <w:rFonts w:asciiTheme="majorHAnsi" w:hAnsiTheme="majorHAnsi"/>
          <w:sz w:val="24"/>
          <w:szCs w:val="24"/>
        </w:rPr>
      </w:pPr>
      <w:r w:rsidRPr="00ED5A42">
        <w:rPr>
          <w:rFonts w:asciiTheme="majorHAnsi" w:hAnsiTheme="majorHAnsi"/>
          <w:sz w:val="24"/>
          <w:szCs w:val="24"/>
        </w:rPr>
        <w:t>This comes with the following advantages:</w:t>
      </w:r>
    </w:p>
    <w:p w14:paraId="3C168103" w14:textId="77777777" w:rsidR="00517491" w:rsidRPr="00ED5A42" w:rsidRDefault="00517491" w:rsidP="00C11D7A">
      <w:pPr>
        <w:pStyle w:val="ListParagraph"/>
        <w:numPr>
          <w:ilvl w:val="0"/>
          <w:numId w:val="5"/>
        </w:numPr>
        <w:spacing w:line="360" w:lineRule="auto"/>
        <w:jc w:val="both"/>
        <w:rPr>
          <w:rFonts w:asciiTheme="majorHAnsi" w:hAnsiTheme="majorHAnsi"/>
          <w:sz w:val="24"/>
          <w:szCs w:val="24"/>
        </w:rPr>
      </w:pPr>
      <w:r w:rsidRPr="00ED5A42">
        <w:rPr>
          <w:rFonts w:asciiTheme="majorHAnsi" w:hAnsiTheme="majorHAnsi"/>
          <w:sz w:val="24"/>
          <w:szCs w:val="24"/>
        </w:rPr>
        <w:lastRenderedPageBreak/>
        <w:t>Getting within few days, the amount of refund processed under automatic route</w:t>
      </w:r>
    </w:p>
    <w:p w14:paraId="4660274E" w14:textId="77777777" w:rsidR="00517491" w:rsidRPr="00ED5A42" w:rsidRDefault="00517491" w:rsidP="00C11D7A">
      <w:pPr>
        <w:pStyle w:val="ListParagraph"/>
        <w:numPr>
          <w:ilvl w:val="0"/>
          <w:numId w:val="5"/>
        </w:numPr>
        <w:spacing w:line="360" w:lineRule="auto"/>
        <w:jc w:val="both"/>
        <w:rPr>
          <w:rFonts w:asciiTheme="majorHAnsi" w:hAnsiTheme="majorHAnsi"/>
          <w:sz w:val="24"/>
          <w:szCs w:val="24"/>
        </w:rPr>
      </w:pPr>
      <w:r w:rsidRPr="00ED5A42">
        <w:rPr>
          <w:rFonts w:asciiTheme="majorHAnsi" w:hAnsiTheme="majorHAnsi"/>
          <w:sz w:val="24"/>
          <w:szCs w:val="24"/>
        </w:rPr>
        <w:t xml:space="preserve">Submission of documents for claiming refund under inverted duty structure is not so heavy as compared to the ITC refund on exports. Further the refund officer is also ensured that the refunds processed under this manual route are already tested transactions under the automated route of processing </w:t>
      </w:r>
      <w:r w:rsidR="008D78F5" w:rsidRPr="00ED5A42">
        <w:rPr>
          <w:rFonts w:asciiTheme="majorHAnsi" w:hAnsiTheme="majorHAnsi"/>
          <w:sz w:val="24"/>
          <w:szCs w:val="24"/>
        </w:rPr>
        <w:t>refunds</w:t>
      </w:r>
      <w:r w:rsidRPr="00ED5A42">
        <w:rPr>
          <w:rFonts w:asciiTheme="majorHAnsi" w:hAnsiTheme="majorHAnsi"/>
          <w:sz w:val="24"/>
          <w:szCs w:val="24"/>
        </w:rPr>
        <w:t>.</w:t>
      </w:r>
    </w:p>
    <w:p w14:paraId="71D0C5A8" w14:textId="77777777" w:rsidR="00517491" w:rsidRPr="00ED5A42" w:rsidRDefault="00DF05DD" w:rsidP="00DF05DD">
      <w:pPr>
        <w:spacing w:line="360" w:lineRule="auto"/>
        <w:jc w:val="both"/>
        <w:rPr>
          <w:rFonts w:asciiTheme="majorHAnsi" w:hAnsiTheme="majorHAnsi"/>
          <w:sz w:val="24"/>
          <w:szCs w:val="24"/>
        </w:rPr>
      </w:pPr>
      <w:r w:rsidRPr="00ED5A42">
        <w:rPr>
          <w:rFonts w:asciiTheme="majorHAnsi" w:hAnsiTheme="majorHAnsi"/>
          <w:sz w:val="24"/>
          <w:szCs w:val="24"/>
        </w:rPr>
        <w:t>Hence the author is of the view that t</w:t>
      </w:r>
      <w:r w:rsidR="00517491" w:rsidRPr="00ED5A42">
        <w:rPr>
          <w:rFonts w:asciiTheme="majorHAnsi" w:hAnsiTheme="majorHAnsi"/>
          <w:sz w:val="24"/>
          <w:szCs w:val="24"/>
        </w:rPr>
        <w:t>his suggestion is not restricted</w:t>
      </w:r>
      <w:r w:rsidRPr="00ED5A42">
        <w:rPr>
          <w:rFonts w:asciiTheme="majorHAnsi" w:hAnsiTheme="majorHAnsi"/>
          <w:sz w:val="24"/>
          <w:szCs w:val="24"/>
        </w:rPr>
        <w:t xml:space="preserve"> </w:t>
      </w:r>
      <w:r w:rsidR="00CF19DF" w:rsidRPr="00ED5A42">
        <w:rPr>
          <w:rFonts w:asciiTheme="majorHAnsi" w:hAnsiTheme="majorHAnsi"/>
          <w:sz w:val="24"/>
          <w:szCs w:val="24"/>
        </w:rPr>
        <w:t>/prohibited</w:t>
      </w:r>
      <w:r w:rsidR="00517491" w:rsidRPr="00ED5A42">
        <w:rPr>
          <w:rFonts w:asciiTheme="majorHAnsi" w:hAnsiTheme="majorHAnsi"/>
          <w:sz w:val="24"/>
          <w:szCs w:val="24"/>
        </w:rPr>
        <w:t xml:space="preserve"> by the </w:t>
      </w:r>
      <w:r w:rsidR="00CF19DF" w:rsidRPr="00ED5A42">
        <w:rPr>
          <w:rFonts w:asciiTheme="majorHAnsi" w:hAnsiTheme="majorHAnsi"/>
          <w:sz w:val="24"/>
          <w:szCs w:val="24"/>
        </w:rPr>
        <w:t>Act or Rules.</w:t>
      </w:r>
    </w:p>
    <w:p w14:paraId="713BB491" w14:textId="4A15095D" w:rsidR="00517491" w:rsidRDefault="00252D26" w:rsidP="00C11D7A">
      <w:pPr>
        <w:spacing w:line="360" w:lineRule="auto"/>
        <w:jc w:val="both"/>
        <w:rPr>
          <w:rFonts w:asciiTheme="majorHAnsi" w:hAnsiTheme="majorHAnsi"/>
          <w:b/>
          <w:bCs/>
          <w:sz w:val="24"/>
          <w:szCs w:val="24"/>
        </w:rPr>
      </w:pPr>
      <w:r w:rsidRPr="00ED5A42">
        <w:rPr>
          <w:rFonts w:asciiTheme="majorHAnsi" w:hAnsiTheme="majorHAnsi"/>
          <w:b/>
          <w:bCs/>
          <w:sz w:val="24"/>
          <w:szCs w:val="24"/>
        </w:rPr>
        <w:t>The Author</w:t>
      </w:r>
      <w:r w:rsidR="00DF05DD" w:rsidRPr="00ED5A42">
        <w:rPr>
          <w:rFonts w:asciiTheme="majorHAnsi" w:hAnsiTheme="majorHAnsi"/>
          <w:b/>
          <w:bCs/>
          <w:sz w:val="24"/>
          <w:szCs w:val="24"/>
        </w:rPr>
        <w:t xml:space="preserve"> </w:t>
      </w:r>
      <w:proofErr w:type="gramStart"/>
      <w:r w:rsidR="00DF05DD" w:rsidRPr="00ED5A42">
        <w:rPr>
          <w:rFonts w:asciiTheme="majorHAnsi" w:hAnsiTheme="majorHAnsi"/>
          <w:b/>
          <w:bCs/>
          <w:sz w:val="24"/>
          <w:szCs w:val="24"/>
        </w:rPr>
        <w:t>request</w:t>
      </w:r>
      <w:proofErr w:type="gramEnd"/>
      <w:r w:rsidR="00DF05DD" w:rsidRPr="00ED5A42">
        <w:rPr>
          <w:rFonts w:asciiTheme="majorHAnsi" w:hAnsiTheme="majorHAnsi"/>
          <w:b/>
          <w:bCs/>
          <w:sz w:val="24"/>
          <w:szCs w:val="24"/>
        </w:rPr>
        <w:t xml:space="preserve"> the </w:t>
      </w:r>
      <w:r w:rsidR="008D78F5" w:rsidRPr="00ED5A42">
        <w:rPr>
          <w:rFonts w:asciiTheme="majorHAnsi" w:hAnsiTheme="majorHAnsi"/>
          <w:b/>
          <w:bCs/>
          <w:sz w:val="24"/>
          <w:szCs w:val="24"/>
        </w:rPr>
        <w:t>Department to issue a clarification in this regard to help remove any apprehensions.</w:t>
      </w:r>
    </w:p>
    <w:p w14:paraId="48B15E9C" w14:textId="77777777" w:rsidR="00C63693" w:rsidRPr="00ED5A42" w:rsidRDefault="00C63693" w:rsidP="00C11D7A">
      <w:pPr>
        <w:spacing w:line="360" w:lineRule="auto"/>
        <w:jc w:val="both"/>
        <w:rPr>
          <w:rFonts w:asciiTheme="majorHAnsi" w:hAnsiTheme="majorHAnsi"/>
          <w:b/>
          <w:bCs/>
          <w:sz w:val="24"/>
          <w:szCs w:val="24"/>
        </w:rPr>
      </w:pPr>
    </w:p>
    <w:p w14:paraId="627D99E7" w14:textId="77777777" w:rsidR="00517491" w:rsidRPr="00ED5A42" w:rsidRDefault="008D78F5" w:rsidP="00252D26">
      <w:pPr>
        <w:pStyle w:val="ListParagraph"/>
        <w:numPr>
          <w:ilvl w:val="0"/>
          <w:numId w:val="8"/>
        </w:numPr>
        <w:pBdr>
          <w:top w:val="single" w:sz="4" w:space="1" w:color="auto"/>
          <w:left w:val="single" w:sz="4" w:space="4" w:color="auto"/>
          <w:bottom w:val="single" w:sz="4" w:space="1" w:color="auto"/>
          <w:right w:val="single" w:sz="4" w:space="4" w:color="auto"/>
        </w:pBdr>
        <w:spacing w:line="360" w:lineRule="auto"/>
        <w:ind w:left="270"/>
        <w:jc w:val="both"/>
        <w:rPr>
          <w:rFonts w:asciiTheme="majorHAnsi" w:hAnsiTheme="majorHAnsi"/>
          <w:b/>
          <w:sz w:val="24"/>
          <w:szCs w:val="24"/>
        </w:rPr>
      </w:pPr>
      <w:r w:rsidRPr="00ED5A42">
        <w:rPr>
          <w:rFonts w:asciiTheme="majorHAnsi" w:hAnsiTheme="majorHAnsi"/>
          <w:b/>
          <w:sz w:val="24"/>
          <w:szCs w:val="24"/>
        </w:rPr>
        <w:t>180 day condition for ITC – Need for relaxation</w:t>
      </w:r>
      <w:r w:rsidR="00517491" w:rsidRPr="00ED5A42">
        <w:rPr>
          <w:rFonts w:asciiTheme="majorHAnsi" w:hAnsiTheme="majorHAnsi"/>
          <w:b/>
          <w:sz w:val="24"/>
          <w:szCs w:val="24"/>
        </w:rPr>
        <w:t>:</w:t>
      </w:r>
    </w:p>
    <w:p w14:paraId="07861C45" w14:textId="77777777" w:rsidR="00CA61FA" w:rsidRPr="00ED5A42" w:rsidRDefault="00CA61FA" w:rsidP="00C11D7A">
      <w:pPr>
        <w:spacing w:line="360" w:lineRule="auto"/>
        <w:ind w:left="270"/>
        <w:jc w:val="both"/>
        <w:rPr>
          <w:rFonts w:asciiTheme="majorHAnsi" w:hAnsiTheme="majorHAnsi"/>
          <w:sz w:val="24"/>
          <w:szCs w:val="24"/>
        </w:rPr>
      </w:pPr>
      <w:r w:rsidRPr="00ED5A42">
        <w:rPr>
          <w:rFonts w:asciiTheme="majorHAnsi" w:hAnsiTheme="majorHAnsi"/>
          <w:sz w:val="24"/>
          <w:szCs w:val="24"/>
        </w:rPr>
        <w:t>As per the ITC provisions under GST law, an</w:t>
      </w:r>
      <w:r w:rsidR="00517491" w:rsidRPr="00ED5A42">
        <w:rPr>
          <w:rFonts w:asciiTheme="majorHAnsi" w:hAnsiTheme="majorHAnsi"/>
          <w:sz w:val="24"/>
          <w:szCs w:val="24"/>
        </w:rPr>
        <w:t xml:space="preserve"> </w:t>
      </w:r>
      <w:proofErr w:type="spellStart"/>
      <w:r w:rsidR="00517491" w:rsidRPr="00ED5A42">
        <w:rPr>
          <w:rFonts w:asciiTheme="majorHAnsi" w:hAnsiTheme="majorHAnsi"/>
          <w:sz w:val="24"/>
          <w:szCs w:val="24"/>
        </w:rPr>
        <w:t>assessee</w:t>
      </w:r>
      <w:proofErr w:type="spellEnd"/>
      <w:r w:rsidR="00517491" w:rsidRPr="00ED5A42">
        <w:rPr>
          <w:rFonts w:asciiTheme="majorHAnsi" w:hAnsiTheme="majorHAnsi"/>
          <w:sz w:val="24"/>
          <w:szCs w:val="24"/>
        </w:rPr>
        <w:t xml:space="preserve"> </w:t>
      </w:r>
      <w:r w:rsidRPr="00ED5A42">
        <w:rPr>
          <w:rFonts w:asciiTheme="majorHAnsi" w:hAnsiTheme="majorHAnsi"/>
          <w:sz w:val="24"/>
          <w:szCs w:val="24"/>
        </w:rPr>
        <w:t>claiming Input tax credit</w:t>
      </w:r>
      <w:r w:rsidR="00517491" w:rsidRPr="00ED5A42">
        <w:rPr>
          <w:rFonts w:asciiTheme="majorHAnsi" w:hAnsiTheme="majorHAnsi"/>
          <w:sz w:val="24"/>
          <w:szCs w:val="24"/>
        </w:rPr>
        <w:t xml:space="preserve"> is </w:t>
      </w:r>
      <w:r w:rsidRPr="00ED5A42">
        <w:rPr>
          <w:rFonts w:asciiTheme="majorHAnsi" w:hAnsiTheme="majorHAnsi"/>
          <w:sz w:val="24"/>
          <w:szCs w:val="24"/>
        </w:rPr>
        <w:t>liable</w:t>
      </w:r>
      <w:r w:rsidR="00517491" w:rsidRPr="00ED5A42">
        <w:rPr>
          <w:rFonts w:asciiTheme="majorHAnsi" w:hAnsiTheme="majorHAnsi"/>
          <w:sz w:val="24"/>
          <w:szCs w:val="24"/>
        </w:rPr>
        <w:t xml:space="preserve"> to make payment to the suppliers of inputs/input services and capital go</w:t>
      </w:r>
      <w:r w:rsidRPr="00ED5A42">
        <w:rPr>
          <w:rFonts w:asciiTheme="majorHAnsi" w:hAnsiTheme="majorHAnsi"/>
          <w:sz w:val="24"/>
          <w:szCs w:val="24"/>
        </w:rPr>
        <w:t xml:space="preserve">ods within 180 days. If he fails to comply, the input tax credit availed should be </w:t>
      </w:r>
      <w:r w:rsidR="00CF19DF" w:rsidRPr="00ED5A42">
        <w:rPr>
          <w:rFonts w:asciiTheme="majorHAnsi" w:hAnsiTheme="majorHAnsi"/>
          <w:sz w:val="24"/>
          <w:szCs w:val="24"/>
        </w:rPr>
        <w:t>reversed</w:t>
      </w:r>
      <w:r w:rsidRPr="00ED5A42">
        <w:rPr>
          <w:rFonts w:asciiTheme="majorHAnsi" w:hAnsiTheme="majorHAnsi"/>
          <w:sz w:val="24"/>
          <w:szCs w:val="24"/>
        </w:rPr>
        <w:t xml:space="preserve"> along with interest. </w:t>
      </w:r>
    </w:p>
    <w:p w14:paraId="3EF74561" w14:textId="77777777" w:rsidR="00CF19DF" w:rsidRPr="00ED5A42" w:rsidRDefault="00517491" w:rsidP="00C11D7A">
      <w:pPr>
        <w:spacing w:line="360" w:lineRule="auto"/>
        <w:ind w:left="270"/>
        <w:jc w:val="both"/>
        <w:rPr>
          <w:rFonts w:asciiTheme="majorHAnsi" w:hAnsiTheme="majorHAnsi"/>
          <w:sz w:val="24"/>
          <w:szCs w:val="24"/>
        </w:rPr>
      </w:pPr>
      <w:r w:rsidRPr="00ED5A42">
        <w:rPr>
          <w:rFonts w:asciiTheme="majorHAnsi" w:hAnsiTheme="majorHAnsi"/>
          <w:sz w:val="24"/>
          <w:szCs w:val="24"/>
        </w:rPr>
        <w:t>The refund officer in its deficiency memo seeks details of payments made to suppliers</w:t>
      </w:r>
      <w:r w:rsidR="00CA61FA" w:rsidRPr="00ED5A42">
        <w:rPr>
          <w:rFonts w:asciiTheme="majorHAnsi" w:hAnsiTheme="majorHAnsi"/>
          <w:sz w:val="24"/>
          <w:szCs w:val="24"/>
        </w:rPr>
        <w:t xml:space="preserve"> in order check whether the exporter h</w:t>
      </w:r>
      <w:r w:rsidR="00CF19DF" w:rsidRPr="00ED5A42">
        <w:rPr>
          <w:rFonts w:asciiTheme="majorHAnsi" w:hAnsiTheme="majorHAnsi"/>
          <w:sz w:val="24"/>
          <w:szCs w:val="24"/>
        </w:rPr>
        <w:t xml:space="preserve">as complied with this condition.  </w:t>
      </w:r>
      <w:r w:rsidR="008D78F5" w:rsidRPr="00ED5A42">
        <w:rPr>
          <w:rFonts w:asciiTheme="majorHAnsi" w:hAnsiTheme="majorHAnsi"/>
          <w:sz w:val="24"/>
          <w:szCs w:val="24"/>
        </w:rPr>
        <w:t xml:space="preserve">It is common knowledge that all exporters were reeling under severe working capital difficulties owing to non-receipt of refund.  </w:t>
      </w:r>
      <w:r w:rsidR="00CF19DF" w:rsidRPr="00ED5A42">
        <w:rPr>
          <w:rFonts w:asciiTheme="majorHAnsi" w:hAnsiTheme="majorHAnsi"/>
          <w:sz w:val="24"/>
          <w:szCs w:val="24"/>
        </w:rPr>
        <w:t xml:space="preserve">  </w:t>
      </w:r>
    </w:p>
    <w:p w14:paraId="2F2D6A90" w14:textId="2468F6D4" w:rsidR="00517491" w:rsidRDefault="00CF19DF" w:rsidP="00C11D7A">
      <w:pPr>
        <w:spacing w:line="360" w:lineRule="auto"/>
        <w:ind w:left="270"/>
        <w:jc w:val="both"/>
        <w:rPr>
          <w:rFonts w:asciiTheme="majorHAnsi" w:hAnsiTheme="majorHAnsi"/>
          <w:b/>
          <w:bCs/>
          <w:sz w:val="24"/>
          <w:szCs w:val="24"/>
        </w:rPr>
      </w:pPr>
      <w:r w:rsidRPr="00ED5A42">
        <w:rPr>
          <w:rFonts w:asciiTheme="majorHAnsi" w:hAnsiTheme="majorHAnsi"/>
          <w:b/>
          <w:bCs/>
          <w:sz w:val="24"/>
          <w:szCs w:val="24"/>
        </w:rPr>
        <w:t xml:space="preserve">It would be in the fitness of things to waive the condition of 180 days for ITC availed </w:t>
      </w:r>
      <w:r w:rsidR="004935D3" w:rsidRPr="00ED5A42">
        <w:rPr>
          <w:rFonts w:asciiTheme="majorHAnsi" w:hAnsiTheme="majorHAnsi"/>
          <w:b/>
          <w:bCs/>
          <w:sz w:val="24"/>
          <w:szCs w:val="24"/>
        </w:rPr>
        <w:t>up to</w:t>
      </w:r>
      <w:r w:rsidRPr="00ED5A42">
        <w:rPr>
          <w:rFonts w:asciiTheme="majorHAnsi" w:hAnsiTheme="majorHAnsi"/>
          <w:b/>
          <w:bCs/>
          <w:sz w:val="24"/>
          <w:szCs w:val="24"/>
        </w:rPr>
        <w:t xml:space="preserve"> December 2017.</w:t>
      </w:r>
    </w:p>
    <w:p w14:paraId="57875FFC" w14:textId="77777777" w:rsidR="00C63693" w:rsidRDefault="00C63693" w:rsidP="00C11D7A">
      <w:pPr>
        <w:spacing w:line="360" w:lineRule="auto"/>
        <w:ind w:left="270"/>
        <w:jc w:val="both"/>
        <w:rPr>
          <w:rFonts w:asciiTheme="majorHAnsi" w:hAnsiTheme="majorHAnsi"/>
          <w:b/>
          <w:bCs/>
          <w:sz w:val="24"/>
          <w:szCs w:val="24"/>
        </w:rPr>
      </w:pPr>
    </w:p>
    <w:p w14:paraId="7F7A342A" w14:textId="77777777" w:rsidR="00C63693" w:rsidRDefault="00C63693" w:rsidP="00C11D7A">
      <w:pPr>
        <w:spacing w:line="360" w:lineRule="auto"/>
        <w:ind w:left="270"/>
        <w:jc w:val="both"/>
        <w:rPr>
          <w:rFonts w:asciiTheme="majorHAnsi" w:hAnsiTheme="majorHAnsi"/>
          <w:b/>
          <w:bCs/>
          <w:sz w:val="24"/>
          <w:szCs w:val="24"/>
        </w:rPr>
      </w:pPr>
    </w:p>
    <w:p w14:paraId="0E30257F" w14:textId="77777777" w:rsidR="00C63693" w:rsidRDefault="00C63693" w:rsidP="00C11D7A">
      <w:pPr>
        <w:spacing w:line="360" w:lineRule="auto"/>
        <w:ind w:left="270"/>
        <w:jc w:val="both"/>
        <w:rPr>
          <w:rFonts w:asciiTheme="majorHAnsi" w:hAnsiTheme="majorHAnsi"/>
          <w:b/>
          <w:bCs/>
          <w:sz w:val="24"/>
          <w:szCs w:val="24"/>
        </w:rPr>
      </w:pPr>
    </w:p>
    <w:p w14:paraId="10DF06E8" w14:textId="77777777" w:rsidR="003E1F54" w:rsidRPr="00ED5A42" w:rsidRDefault="00D67E93" w:rsidP="00252D26">
      <w:pPr>
        <w:pStyle w:val="ListParagraph"/>
        <w:numPr>
          <w:ilvl w:val="0"/>
          <w:numId w:val="8"/>
        </w:numPr>
        <w:pBdr>
          <w:top w:val="single" w:sz="4" w:space="1" w:color="auto"/>
          <w:left w:val="single" w:sz="4" w:space="4" w:color="auto"/>
          <w:bottom w:val="single" w:sz="4" w:space="1" w:color="auto"/>
          <w:right w:val="single" w:sz="4" w:space="4" w:color="auto"/>
        </w:pBdr>
        <w:spacing w:line="360" w:lineRule="auto"/>
        <w:ind w:left="270"/>
        <w:jc w:val="both"/>
        <w:rPr>
          <w:rFonts w:asciiTheme="majorHAnsi" w:hAnsiTheme="majorHAnsi"/>
          <w:b/>
          <w:sz w:val="24"/>
          <w:szCs w:val="24"/>
        </w:rPr>
      </w:pPr>
      <w:r w:rsidRPr="00ED5A42">
        <w:rPr>
          <w:rFonts w:asciiTheme="majorHAnsi" w:hAnsiTheme="majorHAnsi"/>
          <w:b/>
          <w:sz w:val="24"/>
          <w:szCs w:val="24"/>
        </w:rPr>
        <w:lastRenderedPageBreak/>
        <w:t xml:space="preserve">Processing of ITC refund - Additional documents called for </w:t>
      </w:r>
      <w:r w:rsidR="003E1F54" w:rsidRPr="00ED5A42">
        <w:rPr>
          <w:rFonts w:asciiTheme="majorHAnsi" w:hAnsiTheme="majorHAnsi"/>
          <w:b/>
          <w:sz w:val="24"/>
          <w:szCs w:val="24"/>
        </w:rPr>
        <w:t>:</w:t>
      </w:r>
    </w:p>
    <w:p w14:paraId="5718BE2F" w14:textId="77777777" w:rsidR="003E1F54" w:rsidRPr="00ED5A42" w:rsidRDefault="003E1F54" w:rsidP="00C11D7A">
      <w:pPr>
        <w:pStyle w:val="ListParagraph"/>
        <w:spacing w:line="360" w:lineRule="auto"/>
        <w:jc w:val="both"/>
        <w:rPr>
          <w:rFonts w:asciiTheme="majorHAnsi" w:hAnsiTheme="majorHAnsi"/>
          <w:sz w:val="24"/>
          <w:szCs w:val="24"/>
        </w:rPr>
      </w:pPr>
    </w:p>
    <w:p w14:paraId="6B44EAFC" w14:textId="77777777" w:rsidR="008B0E72" w:rsidRPr="00ED5A42" w:rsidRDefault="008D78F5" w:rsidP="00C11D7A">
      <w:pPr>
        <w:pStyle w:val="ListParagraph"/>
        <w:tabs>
          <w:tab w:val="left" w:pos="0"/>
        </w:tabs>
        <w:spacing w:line="360" w:lineRule="auto"/>
        <w:ind w:left="270"/>
        <w:jc w:val="both"/>
        <w:rPr>
          <w:rFonts w:asciiTheme="majorHAnsi" w:hAnsiTheme="majorHAnsi"/>
          <w:sz w:val="24"/>
          <w:szCs w:val="24"/>
        </w:rPr>
      </w:pPr>
      <w:r w:rsidRPr="00ED5A42">
        <w:rPr>
          <w:rFonts w:asciiTheme="majorHAnsi" w:hAnsiTheme="majorHAnsi"/>
          <w:sz w:val="24"/>
          <w:szCs w:val="24"/>
        </w:rPr>
        <w:t>Circular 37</w:t>
      </w:r>
      <w:r w:rsidR="00D67E93" w:rsidRPr="00ED5A42">
        <w:rPr>
          <w:rFonts w:asciiTheme="majorHAnsi" w:hAnsiTheme="majorHAnsi"/>
          <w:sz w:val="24"/>
          <w:szCs w:val="24"/>
        </w:rPr>
        <w:t xml:space="preserve"> </w:t>
      </w:r>
      <w:r w:rsidR="000D7CD2" w:rsidRPr="00ED5A42">
        <w:rPr>
          <w:rFonts w:asciiTheme="majorHAnsi" w:hAnsiTheme="majorHAnsi"/>
          <w:sz w:val="24"/>
          <w:szCs w:val="24"/>
        </w:rPr>
        <w:t>clearly</w:t>
      </w:r>
      <w:r w:rsidR="00D67E93" w:rsidRPr="00ED5A42">
        <w:rPr>
          <w:rFonts w:asciiTheme="majorHAnsi" w:hAnsiTheme="majorHAnsi"/>
          <w:sz w:val="24"/>
          <w:szCs w:val="24"/>
        </w:rPr>
        <w:t xml:space="preserve"> </w:t>
      </w:r>
      <w:r w:rsidRPr="00ED5A42">
        <w:rPr>
          <w:rFonts w:asciiTheme="majorHAnsi" w:hAnsiTheme="majorHAnsi"/>
          <w:sz w:val="24"/>
          <w:szCs w:val="24"/>
        </w:rPr>
        <w:t>instructed field formations that</w:t>
      </w:r>
      <w:r w:rsidR="000D7CD2" w:rsidRPr="00ED5A42">
        <w:rPr>
          <w:rFonts w:asciiTheme="majorHAnsi" w:hAnsiTheme="majorHAnsi"/>
          <w:sz w:val="24"/>
          <w:szCs w:val="24"/>
        </w:rPr>
        <w:t xml:space="preserve"> the </w:t>
      </w:r>
      <w:r w:rsidRPr="00ED5A42">
        <w:rPr>
          <w:rFonts w:asciiTheme="majorHAnsi" w:hAnsiTheme="majorHAnsi"/>
          <w:sz w:val="24"/>
          <w:szCs w:val="24"/>
        </w:rPr>
        <w:t xml:space="preserve">no documents other than the one listed therein should be insisted upon during processing of refunds.  </w:t>
      </w:r>
      <w:r w:rsidR="008B0E72" w:rsidRPr="00ED5A42">
        <w:rPr>
          <w:rFonts w:asciiTheme="majorHAnsi" w:hAnsiTheme="majorHAnsi"/>
          <w:sz w:val="24"/>
          <w:szCs w:val="24"/>
        </w:rPr>
        <w:t xml:space="preserve"> However the department</w:t>
      </w:r>
      <w:r w:rsidRPr="00ED5A42">
        <w:rPr>
          <w:rFonts w:asciiTheme="majorHAnsi" w:hAnsiTheme="majorHAnsi"/>
          <w:sz w:val="24"/>
          <w:szCs w:val="24"/>
        </w:rPr>
        <w:t>al</w:t>
      </w:r>
      <w:r w:rsidR="008B0E72" w:rsidRPr="00ED5A42">
        <w:rPr>
          <w:rFonts w:asciiTheme="majorHAnsi" w:hAnsiTheme="majorHAnsi"/>
          <w:sz w:val="24"/>
          <w:szCs w:val="24"/>
        </w:rPr>
        <w:t xml:space="preserve"> officials </w:t>
      </w:r>
      <w:r w:rsidRPr="00ED5A42">
        <w:rPr>
          <w:rFonts w:asciiTheme="majorHAnsi" w:hAnsiTheme="majorHAnsi"/>
          <w:sz w:val="24"/>
          <w:szCs w:val="24"/>
        </w:rPr>
        <w:t xml:space="preserve">continue to seek additional documents </w:t>
      </w:r>
      <w:r w:rsidR="00ED5A42" w:rsidRPr="00ED5A42">
        <w:rPr>
          <w:rFonts w:asciiTheme="majorHAnsi" w:hAnsiTheme="majorHAnsi"/>
          <w:sz w:val="24"/>
          <w:szCs w:val="24"/>
        </w:rPr>
        <w:t>(please</w:t>
      </w:r>
      <w:r w:rsidRPr="00ED5A42">
        <w:rPr>
          <w:rFonts w:asciiTheme="majorHAnsi" w:hAnsiTheme="majorHAnsi"/>
          <w:sz w:val="24"/>
          <w:szCs w:val="24"/>
        </w:rPr>
        <w:t xml:space="preserve"> refer table below) and reject</w:t>
      </w:r>
      <w:r w:rsidR="008B0E72" w:rsidRPr="00ED5A42">
        <w:rPr>
          <w:rFonts w:asciiTheme="majorHAnsi" w:hAnsiTheme="majorHAnsi"/>
          <w:sz w:val="24"/>
          <w:szCs w:val="24"/>
        </w:rPr>
        <w:t xml:space="preserve"> the refund application through deficiency memo</w:t>
      </w:r>
      <w:r w:rsidRPr="00ED5A42">
        <w:rPr>
          <w:rFonts w:asciiTheme="majorHAnsi" w:hAnsiTheme="majorHAnsi"/>
          <w:sz w:val="24"/>
          <w:szCs w:val="24"/>
        </w:rPr>
        <w:t>.  This causes avoidable delays in receipt of refund.  This needs to be addressed.</w:t>
      </w:r>
    </w:p>
    <w:p w14:paraId="4DF7C48D" w14:textId="77777777" w:rsidR="003964F8" w:rsidRPr="00ED5A42" w:rsidRDefault="003964F8" w:rsidP="00C11D7A">
      <w:pPr>
        <w:pStyle w:val="ListParagraph"/>
        <w:tabs>
          <w:tab w:val="left" w:pos="0"/>
        </w:tabs>
        <w:spacing w:line="360" w:lineRule="auto"/>
        <w:ind w:left="270"/>
        <w:jc w:val="both"/>
        <w:rPr>
          <w:rFonts w:asciiTheme="majorHAnsi" w:hAnsiTheme="majorHAnsi"/>
          <w:sz w:val="24"/>
          <w:szCs w:val="24"/>
        </w:rPr>
      </w:pPr>
    </w:p>
    <w:tbl>
      <w:tblPr>
        <w:tblStyle w:val="TableGrid"/>
        <w:tblW w:w="0" w:type="auto"/>
        <w:jc w:val="center"/>
        <w:tblLook w:val="04A0" w:firstRow="1" w:lastRow="0" w:firstColumn="1" w:lastColumn="0" w:noHBand="0" w:noVBand="1"/>
      </w:tblPr>
      <w:tblGrid>
        <w:gridCol w:w="4968"/>
        <w:gridCol w:w="4608"/>
      </w:tblGrid>
      <w:tr w:rsidR="00516780" w:rsidRPr="00ED5A42" w14:paraId="25437F00" w14:textId="77777777" w:rsidTr="00516780">
        <w:trPr>
          <w:jc w:val="center"/>
        </w:trPr>
        <w:tc>
          <w:tcPr>
            <w:tcW w:w="4968" w:type="dxa"/>
          </w:tcPr>
          <w:p w14:paraId="353C2A91" w14:textId="77777777" w:rsidR="00516780" w:rsidRPr="00ED5A42" w:rsidRDefault="00516780" w:rsidP="00C11D7A">
            <w:pPr>
              <w:spacing w:line="360" w:lineRule="auto"/>
              <w:jc w:val="both"/>
              <w:rPr>
                <w:rFonts w:asciiTheme="majorHAnsi" w:hAnsiTheme="majorHAnsi"/>
                <w:b/>
                <w:sz w:val="24"/>
                <w:szCs w:val="24"/>
              </w:rPr>
            </w:pPr>
            <w:r w:rsidRPr="00ED5A42">
              <w:rPr>
                <w:rFonts w:asciiTheme="majorHAnsi" w:hAnsiTheme="majorHAnsi"/>
                <w:b/>
                <w:sz w:val="24"/>
                <w:szCs w:val="24"/>
              </w:rPr>
              <w:t xml:space="preserve">Additional documents called for </w:t>
            </w:r>
          </w:p>
        </w:tc>
        <w:tc>
          <w:tcPr>
            <w:tcW w:w="4608" w:type="dxa"/>
          </w:tcPr>
          <w:p w14:paraId="6039D23E" w14:textId="77777777" w:rsidR="00516780" w:rsidRPr="00ED5A42" w:rsidRDefault="00516780" w:rsidP="00C11D7A">
            <w:pPr>
              <w:spacing w:line="360" w:lineRule="auto"/>
              <w:jc w:val="center"/>
              <w:rPr>
                <w:rFonts w:asciiTheme="majorHAnsi" w:hAnsiTheme="majorHAnsi"/>
                <w:b/>
                <w:sz w:val="24"/>
                <w:szCs w:val="24"/>
              </w:rPr>
            </w:pPr>
            <w:r w:rsidRPr="00ED5A42">
              <w:rPr>
                <w:rFonts w:asciiTheme="majorHAnsi" w:hAnsiTheme="majorHAnsi"/>
                <w:b/>
                <w:sz w:val="24"/>
                <w:szCs w:val="24"/>
              </w:rPr>
              <w:t>Why not relevant?</w:t>
            </w:r>
          </w:p>
        </w:tc>
      </w:tr>
      <w:tr w:rsidR="00516780" w:rsidRPr="00ED5A42" w14:paraId="6D8B986E" w14:textId="77777777" w:rsidTr="00516780">
        <w:trPr>
          <w:jc w:val="center"/>
        </w:trPr>
        <w:tc>
          <w:tcPr>
            <w:tcW w:w="4968" w:type="dxa"/>
          </w:tcPr>
          <w:p w14:paraId="296BDAC0" w14:textId="77777777" w:rsidR="00516780" w:rsidRPr="00ED5A42" w:rsidRDefault="00516780" w:rsidP="00C11D7A">
            <w:pPr>
              <w:spacing w:line="360" w:lineRule="auto"/>
              <w:jc w:val="both"/>
              <w:rPr>
                <w:rFonts w:asciiTheme="majorHAnsi" w:hAnsiTheme="majorHAnsi"/>
                <w:sz w:val="24"/>
                <w:szCs w:val="24"/>
              </w:rPr>
            </w:pPr>
          </w:p>
        </w:tc>
        <w:tc>
          <w:tcPr>
            <w:tcW w:w="4608" w:type="dxa"/>
          </w:tcPr>
          <w:p w14:paraId="29B3B09F" w14:textId="77777777" w:rsidR="00516780" w:rsidRPr="00ED5A42" w:rsidRDefault="00516780" w:rsidP="00C11D7A">
            <w:pPr>
              <w:spacing w:line="360" w:lineRule="auto"/>
              <w:jc w:val="both"/>
              <w:rPr>
                <w:rFonts w:asciiTheme="majorHAnsi" w:hAnsiTheme="majorHAnsi"/>
                <w:sz w:val="24"/>
                <w:szCs w:val="24"/>
              </w:rPr>
            </w:pPr>
          </w:p>
        </w:tc>
      </w:tr>
      <w:tr w:rsidR="00516780" w:rsidRPr="00ED5A42" w14:paraId="4766E17D" w14:textId="77777777" w:rsidTr="00516780">
        <w:trPr>
          <w:jc w:val="center"/>
        </w:trPr>
        <w:tc>
          <w:tcPr>
            <w:tcW w:w="4968" w:type="dxa"/>
          </w:tcPr>
          <w:p w14:paraId="1F63978B" w14:textId="77777777" w:rsidR="00516780" w:rsidRPr="00ED5A42" w:rsidRDefault="00516780" w:rsidP="00C11D7A">
            <w:pPr>
              <w:spacing w:line="360" w:lineRule="auto"/>
              <w:jc w:val="both"/>
              <w:rPr>
                <w:rFonts w:asciiTheme="majorHAnsi" w:hAnsiTheme="majorHAnsi"/>
                <w:sz w:val="24"/>
                <w:szCs w:val="24"/>
              </w:rPr>
            </w:pPr>
            <w:r w:rsidRPr="00ED5A42">
              <w:rPr>
                <w:rFonts w:asciiTheme="majorHAnsi" w:hAnsiTheme="majorHAnsi"/>
                <w:sz w:val="24"/>
                <w:szCs w:val="24"/>
              </w:rPr>
              <w:t>Print outs of Electronic credit ledger</w:t>
            </w:r>
          </w:p>
        </w:tc>
        <w:tc>
          <w:tcPr>
            <w:tcW w:w="4608" w:type="dxa"/>
          </w:tcPr>
          <w:p w14:paraId="4AB97268" w14:textId="77777777" w:rsidR="00516780" w:rsidRPr="00ED5A42" w:rsidRDefault="00516780" w:rsidP="00C11D7A">
            <w:pPr>
              <w:spacing w:line="360" w:lineRule="auto"/>
              <w:jc w:val="both"/>
              <w:rPr>
                <w:rFonts w:asciiTheme="majorHAnsi" w:hAnsiTheme="majorHAnsi"/>
                <w:sz w:val="24"/>
                <w:szCs w:val="24"/>
              </w:rPr>
            </w:pPr>
            <w:r w:rsidRPr="00ED5A42">
              <w:rPr>
                <w:rFonts w:asciiTheme="majorHAnsi" w:hAnsiTheme="majorHAnsi"/>
                <w:sz w:val="24"/>
                <w:szCs w:val="24"/>
              </w:rPr>
              <w:t>The same is accessible by department and is available in their records</w:t>
            </w:r>
          </w:p>
        </w:tc>
      </w:tr>
      <w:tr w:rsidR="00516780" w:rsidRPr="00ED5A42" w14:paraId="418D98FF" w14:textId="77777777" w:rsidTr="00516780">
        <w:trPr>
          <w:jc w:val="center"/>
        </w:trPr>
        <w:tc>
          <w:tcPr>
            <w:tcW w:w="4968" w:type="dxa"/>
          </w:tcPr>
          <w:p w14:paraId="50E54CDB" w14:textId="77777777" w:rsidR="00516780" w:rsidRPr="00ED5A42" w:rsidRDefault="00516780" w:rsidP="00C11D7A">
            <w:pPr>
              <w:spacing w:line="360" w:lineRule="auto"/>
              <w:jc w:val="both"/>
              <w:rPr>
                <w:rFonts w:asciiTheme="majorHAnsi" w:hAnsiTheme="majorHAnsi"/>
                <w:sz w:val="24"/>
                <w:szCs w:val="24"/>
              </w:rPr>
            </w:pPr>
            <w:r w:rsidRPr="00ED5A42">
              <w:rPr>
                <w:rFonts w:asciiTheme="majorHAnsi" w:hAnsiTheme="majorHAnsi"/>
                <w:sz w:val="24"/>
                <w:szCs w:val="24"/>
              </w:rPr>
              <w:t xml:space="preserve">BRC/FIRC for </w:t>
            </w:r>
            <w:r w:rsidRPr="00ED5A42">
              <w:rPr>
                <w:rFonts w:asciiTheme="majorHAnsi" w:hAnsiTheme="majorHAnsi"/>
                <w:b/>
                <w:i/>
                <w:sz w:val="24"/>
                <w:szCs w:val="24"/>
              </w:rPr>
              <w:t>Export of Goods</w:t>
            </w:r>
          </w:p>
        </w:tc>
        <w:tc>
          <w:tcPr>
            <w:tcW w:w="4608" w:type="dxa"/>
          </w:tcPr>
          <w:p w14:paraId="07C23C3D" w14:textId="77777777" w:rsidR="00516780" w:rsidRPr="00ED5A42" w:rsidRDefault="00516780" w:rsidP="00C11D7A">
            <w:pPr>
              <w:spacing w:line="360" w:lineRule="auto"/>
              <w:jc w:val="both"/>
              <w:rPr>
                <w:rFonts w:asciiTheme="majorHAnsi" w:hAnsiTheme="majorHAnsi"/>
                <w:sz w:val="24"/>
                <w:szCs w:val="24"/>
              </w:rPr>
            </w:pPr>
            <w:r w:rsidRPr="00ED5A42">
              <w:rPr>
                <w:rFonts w:asciiTheme="majorHAnsi" w:hAnsiTheme="majorHAnsi"/>
                <w:sz w:val="24"/>
                <w:szCs w:val="24"/>
              </w:rPr>
              <w:t>FIRC/BRC is applicable only for Export of services and not goods as per GST law, rules and circular</w:t>
            </w:r>
          </w:p>
        </w:tc>
      </w:tr>
      <w:tr w:rsidR="00516780" w:rsidRPr="00ED5A42" w14:paraId="74CD4910" w14:textId="77777777" w:rsidTr="00516780">
        <w:trPr>
          <w:jc w:val="center"/>
        </w:trPr>
        <w:tc>
          <w:tcPr>
            <w:tcW w:w="4968" w:type="dxa"/>
          </w:tcPr>
          <w:p w14:paraId="70334840" w14:textId="77777777" w:rsidR="00516780" w:rsidRPr="00ED5A42" w:rsidRDefault="00516780" w:rsidP="00C11D7A">
            <w:pPr>
              <w:spacing w:line="360" w:lineRule="auto"/>
              <w:jc w:val="both"/>
              <w:rPr>
                <w:rFonts w:asciiTheme="majorHAnsi" w:hAnsiTheme="majorHAnsi"/>
                <w:sz w:val="24"/>
                <w:szCs w:val="24"/>
              </w:rPr>
            </w:pPr>
            <w:r w:rsidRPr="00ED5A42">
              <w:rPr>
                <w:rFonts w:asciiTheme="majorHAnsi" w:hAnsiTheme="majorHAnsi"/>
                <w:sz w:val="24"/>
                <w:szCs w:val="24"/>
              </w:rPr>
              <w:t>Details of payments made to suppliers of input goods and input services</w:t>
            </w:r>
          </w:p>
        </w:tc>
        <w:tc>
          <w:tcPr>
            <w:tcW w:w="4608" w:type="dxa"/>
          </w:tcPr>
          <w:p w14:paraId="7A67A260" w14:textId="77777777" w:rsidR="00516780" w:rsidRPr="00ED5A42" w:rsidRDefault="00516780" w:rsidP="00C11D7A">
            <w:pPr>
              <w:spacing w:line="360" w:lineRule="auto"/>
              <w:jc w:val="both"/>
              <w:rPr>
                <w:rFonts w:asciiTheme="majorHAnsi" w:hAnsiTheme="majorHAnsi"/>
                <w:sz w:val="24"/>
                <w:szCs w:val="24"/>
              </w:rPr>
            </w:pPr>
            <w:r w:rsidRPr="00ED5A42">
              <w:rPr>
                <w:rFonts w:asciiTheme="majorHAnsi" w:hAnsiTheme="majorHAnsi"/>
                <w:sz w:val="24"/>
                <w:szCs w:val="24"/>
              </w:rPr>
              <w:t xml:space="preserve">As discussed in point no </w:t>
            </w:r>
            <w:r w:rsidR="00CA61FA" w:rsidRPr="00ED5A42">
              <w:rPr>
                <w:rFonts w:asciiTheme="majorHAnsi" w:hAnsiTheme="majorHAnsi"/>
                <w:sz w:val="24"/>
                <w:szCs w:val="24"/>
              </w:rPr>
              <w:t>3</w:t>
            </w:r>
            <w:r w:rsidRPr="00ED5A42">
              <w:rPr>
                <w:rFonts w:asciiTheme="majorHAnsi" w:hAnsiTheme="majorHAnsi"/>
                <w:sz w:val="24"/>
                <w:szCs w:val="24"/>
              </w:rPr>
              <w:t xml:space="preserve"> of this note</w:t>
            </w:r>
          </w:p>
        </w:tc>
      </w:tr>
      <w:tr w:rsidR="00516780" w:rsidRPr="00ED5A42" w14:paraId="3B5E7733" w14:textId="77777777" w:rsidTr="00516780">
        <w:trPr>
          <w:jc w:val="center"/>
        </w:trPr>
        <w:tc>
          <w:tcPr>
            <w:tcW w:w="4968" w:type="dxa"/>
          </w:tcPr>
          <w:p w14:paraId="0278E553" w14:textId="77777777" w:rsidR="00516780" w:rsidRPr="00ED5A42" w:rsidRDefault="00516780" w:rsidP="00C11D7A">
            <w:pPr>
              <w:spacing w:line="360" w:lineRule="auto"/>
              <w:jc w:val="both"/>
              <w:rPr>
                <w:rFonts w:asciiTheme="majorHAnsi" w:hAnsiTheme="majorHAnsi"/>
                <w:sz w:val="24"/>
                <w:szCs w:val="24"/>
              </w:rPr>
            </w:pPr>
            <w:r w:rsidRPr="00ED5A42">
              <w:rPr>
                <w:rFonts w:asciiTheme="majorHAnsi" w:hAnsiTheme="majorHAnsi"/>
                <w:sz w:val="24"/>
                <w:szCs w:val="24"/>
              </w:rPr>
              <w:t xml:space="preserve">Chartered Accountant certificate certifying that the incidents of tax is not passed on to the customer </w:t>
            </w:r>
          </w:p>
        </w:tc>
        <w:tc>
          <w:tcPr>
            <w:tcW w:w="4608" w:type="dxa"/>
          </w:tcPr>
          <w:p w14:paraId="73025407" w14:textId="77777777" w:rsidR="00516780" w:rsidRPr="00ED5A42" w:rsidRDefault="00516780" w:rsidP="00C11D7A">
            <w:pPr>
              <w:spacing w:line="360" w:lineRule="auto"/>
              <w:jc w:val="both"/>
              <w:rPr>
                <w:rFonts w:asciiTheme="majorHAnsi" w:hAnsiTheme="majorHAnsi"/>
                <w:sz w:val="24"/>
                <w:szCs w:val="24"/>
              </w:rPr>
            </w:pPr>
            <w:r w:rsidRPr="00ED5A42">
              <w:rPr>
                <w:rFonts w:asciiTheme="majorHAnsi" w:hAnsiTheme="majorHAnsi"/>
                <w:sz w:val="24"/>
                <w:szCs w:val="24"/>
              </w:rPr>
              <w:t>This is specifically excluded by GST rules for Export refund cases</w:t>
            </w:r>
          </w:p>
        </w:tc>
      </w:tr>
      <w:tr w:rsidR="00516780" w:rsidRPr="00ED5A42" w14:paraId="6998D882" w14:textId="77777777" w:rsidTr="00516780">
        <w:trPr>
          <w:jc w:val="center"/>
        </w:trPr>
        <w:tc>
          <w:tcPr>
            <w:tcW w:w="4968" w:type="dxa"/>
          </w:tcPr>
          <w:p w14:paraId="320FA43D" w14:textId="77777777" w:rsidR="00516780" w:rsidRPr="00ED5A42" w:rsidRDefault="00516780" w:rsidP="00C11D7A">
            <w:pPr>
              <w:spacing w:line="360" w:lineRule="auto"/>
              <w:jc w:val="both"/>
              <w:rPr>
                <w:rFonts w:asciiTheme="majorHAnsi" w:hAnsiTheme="majorHAnsi"/>
                <w:sz w:val="24"/>
                <w:szCs w:val="24"/>
              </w:rPr>
            </w:pPr>
            <w:r w:rsidRPr="00ED5A42">
              <w:rPr>
                <w:rFonts w:asciiTheme="majorHAnsi" w:hAnsiTheme="majorHAnsi"/>
                <w:sz w:val="24"/>
                <w:szCs w:val="24"/>
              </w:rPr>
              <w:t>Copy of Electronic General Manifesto</w:t>
            </w:r>
          </w:p>
        </w:tc>
        <w:tc>
          <w:tcPr>
            <w:tcW w:w="4608" w:type="dxa"/>
          </w:tcPr>
          <w:p w14:paraId="1D1C814B" w14:textId="77777777" w:rsidR="00516780" w:rsidRPr="00ED5A42" w:rsidRDefault="00D67E93" w:rsidP="00C11D7A">
            <w:pPr>
              <w:spacing w:line="360" w:lineRule="auto"/>
              <w:jc w:val="both"/>
              <w:rPr>
                <w:rFonts w:asciiTheme="majorHAnsi" w:hAnsiTheme="majorHAnsi"/>
                <w:sz w:val="24"/>
                <w:szCs w:val="24"/>
              </w:rPr>
            </w:pPr>
            <w:r w:rsidRPr="00ED5A42">
              <w:rPr>
                <w:rFonts w:asciiTheme="majorHAnsi" w:hAnsiTheme="majorHAnsi"/>
                <w:sz w:val="24"/>
                <w:szCs w:val="24"/>
              </w:rPr>
              <w:t xml:space="preserve">The same is accessible by department in ICEGATE records </w:t>
            </w:r>
          </w:p>
        </w:tc>
      </w:tr>
      <w:tr w:rsidR="00516780" w:rsidRPr="00ED5A42" w14:paraId="5D49E569" w14:textId="77777777" w:rsidTr="00516780">
        <w:trPr>
          <w:jc w:val="center"/>
        </w:trPr>
        <w:tc>
          <w:tcPr>
            <w:tcW w:w="4968" w:type="dxa"/>
          </w:tcPr>
          <w:p w14:paraId="27B6F142" w14:textId="77777777" w:rsidR="00516780" w:rsidRPr="00ED5A42" w:rsidRDefault="00516780" w:rsidP="00C11D7A">
            <w:pPr>
              <w:spacing w:line="360" w:lineRule="auto"/>
              <w:jc w:val="both"/>
              <w:rPr>
                <w:rFonts w:asciiTheme="majorHAnsi" w:hAnsiTheme="majorHAnsi"/>
                <w:sz w:val="24"/>
                <w:szCs w:val="24"/>
              </w:rPr>
            </w:pPr>
            <w:r w:rsidRPr="00ED5A42">
              <w:rPr>
                <w:rFonts w:asciiTheme="majorHAnsi" w:hAnsiTheme="majorHAnsi"/>
                <w:sz w:val="24"/>
                <w:szCs w:val="24"/>
              </w:rPr>
              <w:t xml:space="preserve">Insisting reversal of </w:t>
            </w:r>
            <w:r w:rsidRPr="00ED5A42">
              <w:rPr>
                <w:rFonts w:asciiTheme="majorHAnsi" w:hAnsiTheme="majorHAnsi"/>
                <w:b/>
                <w:bCs/>
                <w:sz w:val="24"/>
                <w:szCs w:val="24"/>
              </w:rPr>
              <w:t>entire CGST and IGST</w:t>
            </w:r>
            <w:r w:rsidRPr="00ED5A42">
              <w:rPr>
                <w:rFonts w:asciiTheme="majorHAnsi" w:hAnsiTheme="majorHAnsi"/>
                <w:sz w:val="24"/>
                <w:szCs w:val="24"/>
              </w:rPr>
              <w:t xml:space="preserve"> along with interest for the tax period where the exporter has applied for Full DBK</w:t>
            </w:r>
            <w:r w:rsidR="00D67E93" w:rsidRPr="00ED5A42">
              <w:rPr>
                <w:rFonts w:asciiTheme="majorHAnsi" w:hAnsiTheme="majorHAnsi"/>
                <w:sz w:val="24"/>
                <w:szCs w:val="24"/>
              </w:rPr>
              <w:t xml:space="preserve"> </w:t>
            </w:r>
          </w:p>
        </w:tc>
        <w:tc>
          <w:tcPr>
            <w:tcW w:w="4608" w:type="dxa"/>
          </w:tcPr>
          <w:p w14:paraId="30523862" w14:textId="77777777" w:rsidR="00516780" w:rsidRPr="00ED5A42" w:rsidRDefault="00D67E93" w:rsidP="00C11D7A">
            <w:pPr>
              <w:spacing w:line="360" w:lineRule="auto"/>
              <w:jc w:val="both"/>
              <w:rPr>
                <w:rFonts w:asciiTheme="majorHAnsi" w:hAnsiTheme="majorHAnsi"/>
                <w:sz w:val="24"/>
                <w:szCs w:val="24"/>
              </w:rPr>
            </w:pPr>
            <w:r w:rsidRPr="00ED5A42">
              <w:rPr>
                <w:rFonts w:asciiTheme="majorHAnsi" w:hAnsiTheme="majorHAnsi"/>
                <w:sz w:val="24"/>
                <w:szCs w:val="24"/>
              </w:rPr>
              <w:t>This claim by Proper Officer is not correct, as the law requires only reversal of such credit that got consumed on exports for which full DBK is claimed</w:t>
            </w:r>
          </w:p>
        </w:tc>
      </w:tr>
    </w:tbl>
    <w:p w14:paraId="76F2D6DE" w14:textId="77777777" w:rsidR="00D4357E" w:rsidRDefault="008B0E72" w:rsidP="00C11D7A">
      <w:pPr>
        <w:spacing w:line="360" w:lineRule="auto"/>
        <w:jc w:val="both"/>
        <w:rPr>
          <w:rFonts w:asciiTheme="majorHAnsi" w:hAnsiTheme="majorHAnsi"/>
          <w:sz w:val="24"/>
          <w:szCs w:val="24"/>
        </w:rPr>
      </w:pPr>
      <w:r w:rsidRPr="00ED5A42">
        <w:rPr>
          <w:rFonts w:asciiTheme="majorHAnsi" w:hAnsiTheme="majorHAnsi"/>
          <w:sz w:val="24"/>
          <w:szCs w:val="24"/>
        </w:rPr>
        <w:t xml:space="preserve"> </w:t>
      </w:r>
    </w:p>
    <w:p w14:paraId="681B44E3" w14:textId="77777777" w:rsidR="00C63693" w:rsidRDefault="00C63693" w:rsidP="00C11D7A">
      <w:pPr>
        <w:spacing w:line="360" w:lineRule="auto"/>
        <w:jc w:val="both"/>
        <w:rPr>
          <w:rFonts w:asciiTheme="majorHAnsi" w:hAnsiTheme="majorHAnsi"/>
          <w:sz w:val="24"/>
          <w:szCs w:val="24"/>
        </w:rPr>
      </w:pPr>
    </w:p>
    <w:p w14:paraId="792EAACD" w14:textId="77777777" w:rsidR="00C63693" w:rsidRDefault="00C63693" w:rsidP="00C11D7A">
      <w:pPr>
        <w:spacing w:line="360" w:lineRule="auto"/>
        <w:jc w:val="both"/>
        <w:rPr>
          <w:rFonts w:asciiTheme="majorHAnsi" w:hAnsiTheme="majorHAnsi"/>
          <w:sz w:val="24"/>
          <w:szCs w:val="24"/>
        </w:rPr>
      </w:pPr>
    </w:p>
    <w:p w14:paraId="614C2940" w14:textId="77777777" w:rsidR="00D4357E" w:rsidRPr="00ED5A42" w:rsidRDefault="008D78F5" w:rsidP="00252D26">
      <w:pPr>
        <w:pStyle w:val="ListParagraph"/>
        <w:numPr>
          <w:ilvl w:val="0"/>
          <w:numId w:val="8"/>
        </w:numPr>
        <w:pBdr>
          <w:top w:val="single" w:sz="4" w:space="1" w:color="auto"/>
          <w:left w:val="single" w:sz="4" w:space="4" w:color="auto"/>
          <w:bottom w:val="single" w:sz="4" w:space="1" w:color="auto"/>
          <w:right w:val="single" w:sz="4" w:space="4" w:color="auto"/>
        </w:pBdr>
        <w:spacing w:line="360" w:lineRule="auto"/>
        <w:ind w:left="270"/>
        <w:jc w:val="both"/>
        <w:rPr>
          <w:rFonts w:asciiTheme="majorHAnsi" w:hAnsiTheme="majorHAnsi"/>
          <w:b/>
          <w:sz w:val="24"/>
          <w:szCs w:val="24"/>
        </w:rPr>
      </w:pPr>
      <w:r w:rsidRPr="00ED5A42">
        <w:rPr>
          <w:rFonts w:asciiTheme="majorHAnsi" w:hAnsiTheme="majorHAnsi"/>
          <w:b/>
          <w:sz w:val="24"/>
          <w:szCs w:val="24"/>
        </w:rPr>
        <w:lastRenderedPageBreak/>
        <w:t>In</w:t>
      </w:r>
      <w:r w:rsidR="00CF19DF" w:rsidRPr="00ED5A42">
        <w:rPr>
          <w:rFonts w:asciiTheme="majorHAnsi" w:hAnsiTheme="majorHAnsi"/>
          <w:b/>
          <w:sz w:val="24"/>
          <w:szCs w:val="24"/>
        </w:rPr>
        <w:t>ability to reverse only CGST – Software problem</w:t>
      </w:r>
    </w:p>
    <w:p w14:paraId="41D75471" w14:textId="77777777" w:rsidR="00CA61FA" w:rsidRPr="00ED5A42" w:rsidRDefault="00CA61FA" w:rsidP="00C11D7A">
      <w:pPr>
        <w:spacing w:line="360" w:lineRule="auto"/>
        <w:ind w:left="270"/>
        <w:jc w:val="both"/>
        <w:rPr>
          <w:rFonts w:asciiTheme="majorHAnsi" w:hAnsiTheme="majorHAnsi"/>
          <w:sz w:val="24"/>
          <w:szCs w:val="24"/>
        </w:rPr>
      </w:pPr>
      <w:r w:rsidRPr="00ED5A42">
        <w:rPr>
          <w:rFonts w:asciiTheme="majorHAnsi" w:hAnsiTheme="majorHAnsi"/>
          <w:sz w:val="24"/>
          <w:szCs w:val="24"/>
        </w:rPr>
        <w:t>The Exporters who have availed the option of Full DBK during the exte</w:t>
      </w:r>
      <w:r w:rsidR="008D78F5" w:rsidRPr="00ED5A42">
        <w:rPr>
          <w:rFonts w:asciiTheme="majorHAnsi" w:hAnsiTheme="majorHAnsi"/>
          <w:sz w:val="24"/>
          <w:szCs w:val="24"/>
        </w:rPr>
        <w:t>nded period between July 17 to S</w:t>
      </w:r>
      <w:r w:rsidRPr="00ED5A42">
        <w:rPr>
          <w:rFonts w:asciiTheme="majorHAnsi" w:hAnsiTheme="majorHAnsi"/>
          <w:sz w:val="24"/>
          <w:szCs w:val="24"/>
        </w:rPr>
        <w:t>ep 17 are not eligible to avail credit on CGST and IGST</w:t>
      </w:r>
      <w:r w:rsidR="00CF19DF" w:rsidRPr="00ED5A42">
        <w:rPr>
          <w:rFonts w:asciiTheme="majorHAnsi" w:hAnsiTheme="majorHAnsi"/>
          <w:sz w:val="24"/>
          <w:szCs w:val="24"/>
        </w:rPr>
        <w:t xml:space="preserve"> to the extent of inputs consumed </w:t>
      </w:r>
      <w:r w:rsidR="008439B5" w:rsidRPr="00ED5A42">
        <w:rPr>
          <w:rFonts w:asciiTheme="majorHAnsi" w:hAnsiTheme="majorHAnsi"/>
          <w:sz w:val="24"/>
          <w:szCs w:val="24"/>
        </w:rPr>
        <w:t>for</w:t>
      </w:r>
      <w:r w:rsidR="00CF19DF" w:rsidRPr="00ED5A42">
        <w:rPr>
          <w:rFonts w:asciiTheme="majorHAnsi" w:hAnsiTheme="majorHAnsi"/>
          <w:sz w:val="24"/>
          <w:szCs w:val="24"/>
        </w:rPr>
        <w:t xml:space="preserve"> exports.  </w:t>
      </w:r>
      <w:r w:rsidR="00CF4CB1" w:rsidRPr="00ED5A42">
        <w:rPr>
          <w:rFonts w:asciiTheme="majorHAnsi" w:hAnsiTheme="majorHAnsi"/>
          <w:sz w:val="24"/>
          <w:szCs w:val="24"/>
        </w:rPr>
        <w:t>An exporter is therefore required to reverse the CGST and IGST credit in its GSTR 3B.</w:t>
      </w:r>
      <w:r w:rsidRPr="00ED5A42">
        <w:rPr>
          <w:rFonts w:asciiTheme="majorHAnsi" w:hAnsiTheme="majorHAnsi"/>
          <w:sz w:val="24"/>
          <w:szCs w:val="24"/>
        </w:rPr>
        <w:t xml:space="preserve"> </w:t>
      </w:r>
    </w:p>
    <w:p w14:paraId="7CCF44DE" w14:textId="77777777" w:rsidR="008439B5" w:rsidRPr="00ED5A42" w:rsidRDefault="003E1F54" w:rsidP="00C11D7A">
      <w:pPr>
        <w:spacing w:line="360" w:lineRule="auto"/>
        <w:ind w:left="270"/>
        <w:jc w:val="both"/>
        <w:rPr>
          <w:rFonts w:asciiTheme="majorHAnsi" w:hAnsiTheme="majorHAnsi"/>
          <w:sz w:val="24"/>
          <w:szCs w:val="24"/>
        </w:rPr>
      </w:pPr>
      <w:r w:rsidRPr="00ED5A42">
        <w:rPr>
          <w:rFonts w:asciiTheme="majorHAnsi" w:hAnsiTheme="majorHAnsi"/>
          <w:sz w:val="24"/>
          <w:szCs w:val="24"/>
        </w:rPr>
        <w:t xml:space="preserve">Presently once an entry is made </w:t>
      </w:r>
      <w:r w:rsidR="00D4357E" w:rsidRPr="00ED5A42">
        <w:rPr>
          <w:rFonts w:asciiTheme="majorHAnsi" w:hAnsiTheme="majorHAnsi"/>
          <w:sz w:val="24"/>
          <w:szCs w:val="24"/>
        </w:rPr>
        <w:t xml:space="preserve">in the </w:t>
      </w:r>
      <w:r w:rsidRPr="00ED5A42">
        <w:rPr>
          <w:rFonts w:asciiTheme="majorHAnsi" w:hAnsiTheme="majorHAnsi"/>
          <w:sz w:val="24"/>
          <w:szCs w:val="24"/>
        </w:rPr>
        <w:t xml:space="preserve">reversal of ITC </w:t>
      </w:r>
      <w:r w:rsidR="00D4357E" w:rsidRPr="00ED5A42">
        <w:rPr>
          <w:rFonts w:asciiTheme="majorHAnsi" w:hAnsiTheme="majorHAnsi"/>
          <w:sz w:val="24"/>
          <w:szCs w:val="24"/>
        </w:rPr>
        <w:t xml:space="preserve">column of CGST, the Return format automatically </w:t>
      </w:r>
      <w:r w:rsidRPr="00ED5A42">
        <w:rPr>
          <w:rFonts w:asciiTheme="majorHAnsi" w:hAnsiTheme="majorHAnsi"/>
          <w:sz w:val="24"/>
          <w:szCs w:val="24"/>
        </w:rPr>
        <w:t>revers</w:t>
      </w:r>
      <w:r w:rsidR="008439B5" w:rsidRPr="00ED5A42">
        <w:rPr>
          <w:rFonts w:asciiTheme="majorHAnsi" w:hAnsiTheme="majorHAnsi"/>
          <w:sz w:val="24"/>
          <w:szCs w:val="24"/>
        </w:rPr>
        <w:t>es</w:t>
      </w:r>
      <w:r w:rsidR="00D4357E" w:rsidRPr="00ED5A42">
        <w:rPr>
          <w:rFonts w:asciiTheme="majorHAnsi" w:hAnsiTheme="majorHAnsi"/>
          <w:sz w:val="24"/>
          <w:szCs w:val="24"/>
        </w:rPr>
        <w:t xml:space="preserve"> </w:t>
      </w:r>
      <w:r w:rsidR="008439B5" w:rsidRPr="00ED5A42">
        <w:rPr>
          <w:rFonts w:asciiTheme="majorHAnsi" w:hAnsiTheme="majorHAnsi"/>
          <w:sz w:val="24"/>
          <w:szCs w:val="24"/>
        </w:rPr>
        <w:t>an</w:t>
      </w:r>
      <w:r w:rsidR="00D4357E" w:rsidRPr="00ED5A42">
        <w:rPr>
          <w:rFonts w:asciiTheme="majorHAnsi" w:hAnsiTheme="majorHAnsi"/>
          <w:sz w:val="24"/>
          <w:szCs w:val="24"/>
        </w:rPr>
        <w:t xml:space="preserve"> equal amount</w:t>
      </w:r>
      <w:r w:rsidRPr="00ED5A42">
        <w:rPr>
          <w:rFonts w:asciiTheme="majorHAnsi" w:hAnsiTheme="majorHAnsi"/>
          <w:sz w:val="24"/>
          <w:szCs w:val="24"/>
        </w:rPr>
        <w:t xml:space="preserve"> under SGST column also</w:t>
      </w:r>
      <w:r w:rsidR="00D4357E" w:rsidRPr="00ED5A42">
        <w:rPr>
          <w:rFonts w:asciiTheme="majorHAnsi" w:hAnsiTheme="majorHAnsi"/>
          <w:sz w:val="24"/>
          <w:szCs w:val="24"/>
        </w:rPr>
        <w:t>.</w:t>
      </w:r>
      <w:r w:rsidRPr="00ED5A42">
        <w:rPr>
          <w:rFonts w:asciiTheme="majorHAnsi" w:hAnsiTheme="majorHAnsi"/>
          <w:sz w:val="24"/>
          <w:szCs w:val="24"/>
        </w:rPr>
        <w:t xml:space="preserve"> </w:t>
      </w:r>
      <w:r w:rsidR="008439B5" w:rsidRPr="00ED5A42">
        <w:rPr>
          <w:rFonts w:asciiTheme="majorHAnsi" w:hAnsiTheme="majorHAnsi"/>
          <w:sz w:val="24"/>
          <w:szCs w:val="24"/>
        </w:rPr>
        <w:t xml:space="preserve"> There is no way the exporter can avoid this since it is automatically reversed.  Therefore, to avoid reversal of SGST credit, the exporter is forced to abstain from reversing CGST credit also.</w:t>
      </w:r>
    </w:p>
    <w:p w14:paraId="36920657" w14:textId="77777777" w:rsidR="00D4357E" w:rsidRDefault="008439B5" w:rsidP="00C11D7A">
      <w:pPr>
        <w:spacing w:line="360" w:lineRule="auto"/>
        <w:ind w:left="270"/>
        <w:jc w:val="both"/>
        <w:rPr>
          <w:rFonts w:asciiTheme="majorHAnsi" w:hAnsiTheme="majorHAnsi"/>
          <w:sz w:val="24"/>
          <w:szCs w:val="24"/>
        </w:rPr>
      </w:pPr>
      <w:r w:rsidRPr="00ED5A42">
        <w:rPr>
          <w:rFonts w:asciiTheme="majorHAnsi" w:hAnsiTheme="majorHAnsi"/>
          <w:sz w:val="24"/>
          <w:szCs w:val="24"/>
        </w:rPr>
        <w:t xml:space="preserve">This software issue creates difficulties in compliance and needs to be immediately fixed as exporters may be saddled with interest and penalty for non-reversal.  </w:t>
      </w:r>
    </w:p>
    <w:p w14:paraId="0E5B81B9" w14:textId="77777777" w:rsidR="00C63693" w:rsidRDefault="00C63693" w:rsidP="00C11D7A">
      <w:pPr>
        <w:spacing w:line="360" w:lineRule="auto"/>
        <w:ind w:left="270"/>
        <w:jc w:val="both"/>
        <w:rPr>
          <w:rFonts w:asciiTheme="majorHAnsi" w:hAnsiTheme="majorHAnsi"/>
          <w:sz w:val="24"/>
          <w:szCs w:val="24"/>
        </w:rPr>
      </w:pPr>
      <w:bookmarkStart w:id="0" w:name="_GoBack"/>
      <w:bookmarkEnd w:id="0"/>
    </w:p>
    <w:p w14:paraId="0BBC45BC" w14:textId="3C05F768" w:rsidR="00560D12" w:rsidRPr="00252D26" w:rsidRDefault="00560D12" w:rsidP="00252D26">
      <w:pPr>
        <w:pStyle w:val="ListParagraph"/>
        <w:numPr>
          <w:ilvl w:val="0"/>
          <w:numId w:val="8"/>
        </w:numPr>
        <w:pBdr>
          <w:top w:val="single" w:sz="4" w:space="1" w:color="auto"/>
          <w:left w:val="single" w:sz="4" w:space="4" w:color="auto"/>
          <w:bottom w:val="single" w:sz="4" w:space="1" w:color="auto"/>
          <w:right w:val="single" w:sz="4" w:space="4" w:color="auto"/>
        </w:pBdr>
        <w:spacing w:line="360" w:lineRule="auto"/>
        <w:ind w:left="270"/>
        <w:jc w:val="both"/>
        <w:rPr>
          <w:rFonts w:asciiTheme="majorHAnsi" w:hAnsiTheme="majorHAnsi"/>
          <w:b/>
          <w:sz w:val="24"/>
          <w:szCs w:val="24"/>
        </w:rPr>
      </w:pPr>
      <w:r w:rsidRPr="00252D26">
        <w:rPr>
          <w:rFonts w:asciiTheme="majorHAnsi" w:hAnsiTheme="majorHAnsi"/>
          <w:b/>
          <w:sz w:val="24"/>
          <w:szCs w:val="24"/>
        </w:rPr>
        <w:t>Conclusion:</w:t>
      </w:r>
    </w:p>
    <w:p w14:paraId="50CBF86B" w14:textId="2D740436" w:rsidR="00560D12" w:rsidRPr="00ED5A42" w:rsidRDefault="0048551E" w:rsidP="00C11D7A">
      <w:pPr>
        <w:spacing w:line="360" w:lineRule="auto"/>
        <w:ind w:left="270"/>
        <w:jc w:val="both"/>
        <w:rPr>
          <w:rFonts w:asciiTheme="majorHAnsi" w:hAnsiTheme="majorHAnsi"/>
          <w:sz w:val="24"/>
          <w:szCs w:val="24"/>
        </w:rPr>
      </w:pPr>
      <w:r>
        <w:rPr>
          <w:rFonts w:asciiTheme="majorHAnsi" w:hAnsiTheme="majorHAnsi"/>
          <w:sz w:val="24"/>
          <w:szCs w:val="24"/>
        </w:rPr>
        <w:t>It is hoped that before the first anniversary of GST is celebrated, these irritants are removed.</w:t>
      </w:r>
    </w:p>
    <w:p w14:paraId="1B09FDAA" w14:textId="77777777" w:rsidR="00CF19DF" w:rsidRPr="00ED5A42" w:rsidRDefault="00CF19DF" w:rsidP="00C11D7A">
      <w:pPr>
        <w:spacing w:line="360" w:lineRule="auto"/>
        <w:ind w:left="270"/>
        <w:jc w:val="both"/>
        <w:rPr>
          <w:rFonts w:asciiTheme="majorHAnsi" w:hAnsiTheme="majorHAnsi"/>
          <w:sz w:val="24"/>
          <w:szCs w:val="24"/>
        </w:rPr>
      </w:pPr>
    </w:p>
    <w:p w14:paraId="6955363A" w14:textId="77777777" w:rsidR="002156AF" w:rsidRPr="00ED5A42" w:rsidRDefault="002156AF" w:rsidP="00C11D7A">
      <w:pPr>
        <w:spacing w:line="360" w:lineRule="auto"/>
        <w:ind w:hanging="900"/>
        <w:jc w:val="center"/>
        <w:rPr>
          <w:rFonts w:asciiTheme="majorHAnsi" w:hAnsiTheme="majorHAnsi"/>
          <w:sz w:val="24"/>
          <w:szCs w:val="24"/>
        </w:rPr>
      </w:pPr>
    </w:p>
    <w:sectPr w:rsidR="002156AF" w:rsidRPr="00ED5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5F99"/>
    <w:multiLevelType w:val="hybridMultilevel"/>
    <w:tmpl w:val="13DE9D24"/>
    <w:lvl w:ilvl="0" w:tplc="AAE22AE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38D32658"/>
    <w:multiLevelType w:val="hybridMultilevel"/>
    <w:tmpl w:val="42448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9829F7"/>
    <w:multiLevelType w:val="hybridMultilevel"/>
    <w:tmpl w:val="CD164718"/>
    <w:lvl w:ilvl="0" w:tplc="D2E2C24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576A46AD"/>
    <w:multiLevelType w:val="hybridMultilevel"/>
    <w:tmpl w:val="11A43A40"/>
    <w:lvl w:ilvl="0" w:tplc="FB0A30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B85335"/>
    <w:multiLevelType w:val="hybridMultilevel"/>
    <w:tmpl w:val="D96E10A4"/>
    <w:lvl w:ilvl="0" w:tplc="A2A87E1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61EC5CB8"/>
    <w:multiLevelType w:val="hybridMultilevel"/>
    <w:tmpl w:val="11A43A40"/>
    <w:lvl w:ilvl="0" w:tplc="FB0A30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21280F"/>
    <w:multiLevelType w:val="hybridMultilevel"/>
    <w:tmpl w:val="6326352C"/>
    <w:lvl w:ilvl="0" w:tplc="7ABAB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1D4553"/>
    <w:multiLevelType w:val="hybridMultilevel"/>
    <w:tmpl w:val="ACFA6114"/>
    <w:lvl w:ilvl="0" w:tplc="042417D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D2"/>
    <w:rsid w:val="00046894"/>
    <w:rsid w:val="0005413D"/>
    <w:rsid w:val="0009422B"/>
    <w:rsid w:val="000D7CD2"/>
    <w:rsid w:val="000D7EC3"/>
    <w:rsid w:val="002156AF"/>
    <w:rsid w:val="00252D26"/>
    <w:rsid w:val="00302BEE"/>
    <w:rsid w:val="0033267F"/>
    <w:rsid w:val="003964F8"/>
    <w:rsid w:val="003E1F54"/>
    <w:rsid w:val="004060FB"/>
    <w:rsid w:val="0048551E"/>
    <w:rsid w:val="004935D3"/>
    <w:rsid w:val="00516780"/>
    <w:rsid w:val="00517491"/>
    <w:rsid w:val="00560D12"/>
    <w:rsid w:val="00597EE7"/>
    <w:rsid w:val="005F5792"/>
    <w:rsid w:val="005F68A0"/>
    <w:rsid w:val="006762BF"/>
    <w:rsid w:val="0069058D"/>
    <w:rsid w:val="007031F3"/>
    <w:rsid w:val="00736AE0"/>
    <w:rsid w:val="007403C7"/>
    <w:rsid w:val="00764530"/>
    <w:rsid w:val="008439B5"/>
    <w:rsid w:val="00867761"/>
    <w:rsid w:val="008B0E72"/>
    <w:rsid w:val="008D78F5"/>
    <w:rsid w:val="009406FD"/>
    <w:rsid w:val="00A27652"/>
    <w:rsid w:val="00A77408"/>
    <w:rsid w:val="00A873A1"/>
    <w:rsid w:val="00B309ED"/>
    <w:rsid w:val="00BC5F46"/>
    <w:rsid w:val="00C11D7A"/>
    <w:rsid w:val="00C63693"/>
    <w:rsid w:val="00C77D2D"/>
    <w:rsid w:val="00CA61FA"/>
    <w:rsid w:val="00CF19DF"/>
    <w:rsid w:val="00CF4CB1"/>
    <w:rsid w:val="00D4357E"/>
    <w:rsid w:val="00D67E93"/>
    <w:rsid w:val="00DF05DD"/>
    <w:rsid w:val="00ED5A42"/>
    <w:rsid w:val="00EE19C7"/>
    <w:rsid w:val="00F27A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D2"/>
    <w:pPr>
      <w:ind w:left="720"/>
      <w:contextualSpacing/>
    </w:pPr>
  </w:style>
  <w:style w:type="table" w:styleId="TableGrid">
    <w:name w:val="Table Grid"/>
    <w:basedOn w:val="TableNormal"/>
    <w:uiPriority w:val="59"/>
    <w:rsid w:val="008B0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5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D2"/>
    <w:pPr>
      <w:ind w:left="720"/>
      <w:contextualSpacing/>
    </w:pPr>
  </w:style>
  <w:style w:type="table" w:styleId="TableGrid">
    <w:name w:val="Table Grid"/>
    <w:basedOn w:val="TableNormal"/>
    <w:uiPriority w:val="59"/>
    <w:rsid w:val="008B0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5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96006">
      <w:bodyDiv w:val="1"/>
      <w:marLeft w:val="0"/>
      <w:marRight w:val="0"/>
      <w:marTop w:val="0"/>
      <w:marBottom w:val="0"/>
      <w:divBdr>
        <w:top w:val="none" w:sz="0" w:space="0" w:color="auto"/>
        <w:left w:val="none" w:sz="0" w:space="0" w:color="auto"/>
        <w:bottom w:val="none" w:sz="0" w:space="0" w:color="auto"/>
        <w:right w:val="none" w:sz="0" w:space="0" w:color="auto"/>
      </w:divBdr>
      <w:divsChild>
        <w:div w:id="1766879980">
          <w:marLeft w:val="0"/>
          <w:marRight w:val="0"/>
          <w:marTop w:val="0"/>
          <w:marBottom w:val="0"/>
          <w:divBdr>
            <w:top w:val="none" w:sz="0" w:space="0" w:color="auto"/>
            <w:left w:val="none" w:sz="0" w:space="0" w:color="auto"/>
            <w:bottom w:val="none" w:sz="0" w:space="0" w:color="auto"/>
            <w:right w:val="none" w:sz="0" w:space="0" w:color="auto"/>
          </w:divBdr>
        </w:div>
        <w:div w:id="1728453302">
          <w:marLeft w:val="0"/>
          <w:marRight w:val="0"/>
          <w:marTop w:val="0"/>
          <w:marBottom w:val="0"/>
          <w:divBdr>
            <w:top w:val="none" w:sz="0" w:space="0" w:color="auto"/>
            <w:left w:val="none" w:sz="0" w:space="0" w:color="auto"/>
            <w:bottom w:val="none" w:sz="0" w:space="0" w:color="auto"/>
            <w:right w:val="none" w:sz="0" w:space="0" w:color="auto"/>
          </w:divBdr>
        </w:div>
      </w:divsChild>
    </w:div>
    <w:div w:id="1185946475">
      <w:bodyDiv w:val="1"/>
      <w:marLeft w:val="0"/>
      <w:marRight w:val="0"/>
      <w:marTop w:val="0"/>
      <w:marBottom w:val="0"/>
      <w:divBdr>
        <w:top w:val="none" w:sz="0" w:space="0" w:color="auto"/>
        <w:left w:val="none" w:sz="0" w:space="0" w:color="auto"/>
        <w:bottom w:val="none" w:sz="0" w:space="0" w:color="auto"/>
        <w:right w:val="none" w:sz="0" w:space="0" w:color="auto"/>
      </w:divBdr>
      <w:divsChild>
        <w:div w:id="418988219">
          <w:marLeft w:val="0"/>
          <w:marRight w:val="0"/>
          <w:marTop w:val="0"/>
          <w:marBottom w:val="0"/>
          <w:divBdr>
            <w:top w:val="none" w:sz="0" w:space="0" w:color="auto"/>
            <w:left w:val="none" w:sz="0" w:space="0" w:color="auto"/>
            <w:bottom w:val="none" w:sz="0" w:space="0" w:color="auto"/>
            <w:right w:val="none" w:sz="0" w:space="0" w:color="auto"/>
          </w:divBdr>
        </w:div>
        <w:div w:id="1602294990">
          <w:marLeft w:val="0"/>
          <w:marRight w:val="0"/>
          <w:marTop w:val="0"/>
          <w:marBottom w:val="0"/>
          <w:divBdr>
            <w:top w:val="none" w:sz="0" w:space="0" w:color="auto"/>
            <w:left w:val="none" w:sz="0" w:space="0" w:color="auto"/>
            <w:bottom w:val="none" w:sz="0" w:space="0" w:color="auto"/>
            <w:right w:val="none" w:sz="0" w:space="0" w:color="auto"/>
          </w:divBdr>
        </w:div>
        <w:div w:id="871184239">
          <w:marLeft w:val="0"/>
          <w:marRight w:val="0"/>
          <w:marTop w:val="0"/>
          <w:marBottom w:val="0"/>
          <w:divBdr>
            <w:top w:val="none" w:sz="0" w:space="0" w:color="auto"/>
            <w:left w:val="none" w:sz="0" w:space="0" w:color="auto"/>
            <w:bottom w:val="none" w:sz="0" w:space="0" w:color="auto"/>
            <w:right w:val="none" w:sz="0" w:space="0" w:color="auto"/>
          </w:divBdr>
        </w:div>
      </w:divsChild>
    </w:div>
    <w:div w:id="1704748849">
      <w:bodyDiv w:val="1"/>
      <w:marLeft w:val="0"/>
      <w:marRight w:val="0"/>
      <w:marTop w:val="0"/>
      <w:marBottom w:val="0"/>
      <w:divBdr>
        <w:top w:val="none" w:sz="0" w:space="0" w:color="auto"/>
        <w:left w:val="none" w:sz="0" w:space="0" w:color="auto"/>
        <w:bottom w:val="none" w:sz="0" w:space="0" w:color="auto"/>
        <w:right w:val="none" w:sz="0" w:space="0" w:color="auto"/>
      </w:divBdr>
      <w:divsChild>
        <w:div w:id="1026440197">
          <w:marLeft w:val="0"/>
          <w:marRight w:val="0"/>
          <w:marTop w:val="0"/>
          <w:marBottom w:val="0"/>
          <w:divBdr>
            <w:top w:val="none" w:sz="0" w:space="0" w:color="auto"/>
            <w:left w:val="none" w:sz="0" w:space="0" w:color="auto"/>
            <w:bottom w:val="none" w:sz="0" w:space="0" w:color="auto"/>
            <w:right w:val="none" w:sz="0" w:space="0" w:color="auto"/>
          </w:divBdr>
        </w:div>
        <w:div w:id="340086714">
          <w:marLeft w:val="0"/>
          <w:marRight w:val="0"/>
          <w:marTop w:val="0"/>
          <w:marBottom w:val="0"/>
          <w:divBdr>
            <w:top w:val="none" w:sz="0" w:space="0" w:color="auto"/>
            <w:left w:val="none" w:sz="0" w:space="0" w:color="auto"/>
            <w:bottom w:val="none" w:sz="0" w:space="0" w:color="auto"/>
            <w:right w:val="none" w:sz="0" w:space="0" w:color="auto"/>
          </w:divBdr>
        </w:div>
        <w:div w:id="1038436913">
          <w:marLeft w:val="0"/>
          <w:marRight w:val="0"/>
          <w:marTop w:val="0"/>
          <w:marBottom w:val="0"/>
          <w:divBdr>
            <w:top w:val="none" w:sz="0" w:space="0" w:color="auto"/>
            <w:left w:val="none" w:sz="0" w:space="0" w:color="auto"/>
            <w:bottom w:val="none" w:sz="0" w:space="0" w:color="auto"/>
            <w:right w:val="none" w:sz="0" w:space="0" w:color="auto"/>
          </w:divBdr>
        </w:div>
        <w:div w:id="1413284470">
          <w:marLeft w:val="0"/>
          <w:marRight w:val="0"/>
          <w:marTop w:val="0"/>
          <w:marBottom w:val="0"/>
          <w:divBdr>
            <w:top w:val="none" w:sz="0" w:space="0" w:color="auto"/>
            <w:left w:val="none" w:sz="0" w:space="0" w:color="auto"/>
            <w:bottom w:val="none" w:sz="0" w:space="0" w:color="auto"/>
            <w:right w:val="none" w:sz="0" w:space="0" w:color="auto"/>
          </w:divBdr>
        </w:div>
        <w:div w:id="2051297732">
          <w:marLeft w:val="0"/>
          <w:marRight w:val="0"/>
          <w:marTop w:val="0"/>
          <w:marBottom w:val="0"/>
          <w:divBdr>
            <w:top w:val="none" w:sz="0" w:space="0" w:color="auto"/>
            <w:left w:val="none" w:sz="0" w:space="0" w:color="auto"/>
            <w:bottom w:val="none" w:sz="0" w:space="0" w:color="auto"/>
            <w:right w:val="none" w:sz="0" w:space="0" w:color="auto"/>
          </w:divBdr>
        </w:div>
      </w:divsChild>
    </w:div>
    <w:div w:id="1919629612">
      <w:bodyDiv w:val="1"/>
      <w:marLeft w:val="0"/>
      <w:marRight w:val="0"/>
      <w:marTop w:val="0"/>
      <w:marBottom w:val="0"/>
      <w:divBdr>
        <w:top w:val="none" w:sz="0" w:space="0" w:color="auto"/>
        <w:left w:val="none" w:sz="0" w:space="0" w:color="auto"/>
        <w:bottom w:val="none" w:sz="0" w:space="0" w:color="auto"/>
        <w:right w:val="none" w:sz="0" w:space="0" w:color="auto"/>
      </w:divBdr>
      <w:divsChild>
        <w:div w:id="177473082">
          <w:marLeft w:val="0"/>
          <w:marRight w:val="0"/>
          <w:marTop w:val="0"/>
          <w:marBottom w:val="0"/>
          <w:divBdr>
            <w:top w:val="none" w:sz="0" w:space="0" w:color="auto"/>
            <w:left w:val="none" w:sz="0" w:space="0" w:color="auto"/>
            <w:bottom w:val="none" w:sz="0" w:space="0" w:color="auto"/>
            <w:right w:val="none" w:sz="0" w:space="0" w:color="auto"/>
          </w:divBdr>
        </w:div>
        <w:div w:id="1663384990">
          <w:marLeft w:val="0"/>
          <w:marRight w:val="0"/>
          <w:marTop w:val="0"/>
          <w:marBottom w:val="0"/>
          <w:divBdr>
            <w:top w:val="none" w:sz="0" w:space="0" w:color="auto"/>
            <w:left w:val="none" w:sz="0" w:space="0" w:color="auto"/>
            <w:bottom w:val="none" w:sz="0" w:space="0" w:color="auto"/>
            <w:right w:val="none" w:sz="0" w:space="0" w:color="auto"/>
          </w:divBdr>
        </w:div>
        <w:div w:id="1643997000">
          <w:marLeft w:val="0"/>
          <w:marRight w:val="0"/>
          <w:marTop w:val="0"/>
          <w:marBottom w:val="0"/>
          <w:divBdr>
            <w:top w:val="none" w:sz="0" w:space="0" w:color="auto"/>
            <w:left w:val="none" w:sz="0" w:space="0" w:color="auto"/>
            <w:bottom w:val="none" w:sz="0" w:space="0" w:color="auto"/>
            <w:right w:val="none" w:sz="0" w:space="0" w:color="auto"/>
          </w:divBdr>
        </w:div>
        <w:div w:id="1537542147">
          <w:marLeft w:val="0"/>
          <w:marRight w:val="0"/>
          <w:marTop w:val="0"/>
          <w:marBottom w:val="0"/>
          <w:divBdr>
            <w:top w:val="none" w:sz="0" w:space="0" w:color="auto"/>
            <w:left w:val="none" w:sz="0" w:space="0" w:color="auto"/>
            <w:bottom w:val="none" w:sz="0" w:space="0" w:color="auto"/>
            <w:right w:val="none" w:sz="0" w:space="0" w:color="auto"/>
          </w:divBdr>
        </w:div>
      </w:divsChild>
    </w:div>
    <w:div w:id="1987004893">
      <w:bodyDiv w:val="1"/>
      <w:marLeft w:val="0"/>
      <w:marRight w:val="0"/>
      <w:marTop w:val="0"/>
      <w:marBottom w:val="0"/>
      <w:divBdr>
        <w:top w:val="none" w:sz="0" w:space="0" w:color="auto"/>
        <w:left w:val="none" w:sz="0" w:space="0" w:color="auto"/>
        <w:bottom w:val="none" w:sz="0" w:space="0" w:color="auto"/>
        <w:right w:val="none" w:sz="0" w:space="0" w:color="auto"/>
      </w:divBdr>
      <w:divsChild>
        <w:div w:id="414282469">
          <w:marLeft w:val="0"/>
          <w:marRight w:val="0"/>
          <w:marTop w:val="0"/>
          <w:marBottom w:val="0"/>
          <w:divBdr>
            <w:top w:val="none" w:sz="0" w:space="0" w:color="auto"/>
            <w:left w:val="none" w:sz="0" w:space="0" w:color="auto"/>
            <w:bottom w:val="none" w:sz="0" w:space="0" w:color="auto"/>
            <w:right w:val="none" w:sz="0" w:space="0" w:color="auto"/>
          </w:divBdr>
        </w:div>
        <w:div w:id="1480343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F67C-6DF5-4B20-A35C-DA685D85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LNVT</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GSV</dc:creator>
  <cp:keywords/>
  <dc:description/>
  <cp:lastModifiedBy>GSV</cp:lastModifiedBy>
  <cp:revision>10</cp:revision>
  <dcterms:created xsi:type="dcterms:W3CDTF">2018-05-22T13:26:00Z</dcterms:created>
  <dcterms:modified xsi:type="dcterms:W3CDTF">2021-06-16T16:40:00Z</dcterms:modified>
</cp:coreProperties>
</file>