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02E0F" w14:textId="56B66E20" w:rsidR="00281A47" w:rsidRDefault="00C41967" w:rsidP="00602004">
      <w:pPr>
        <w:jc w:val="center"/>
        <w:rPr>
          <w:sz w:val="28"/>
        </w:rPr>
      </w:pPr>
      <w:r>
        <w:rPr>
          <w:sz w:val="28"/>
        </w:rPr>
        <w:t>GST Update – Some important changes</w:t>
      </w:r>
    </w:p>
    <w:p w14:paraId="62B50CBC" w14:textId="649A9FDC" w:rsidR="00C41967" w:rsidRDefault="00C41967" w:rsidP="00602004">
      <w:pPr>
        <w:jc w:val="center"/>
        <w:rPr>
          <w:sz w:val="28"/>
        </w:rPr>
      </w:pPr>
      <w:r>
        <w:rPr>
          <w:sz w:val="28"/>
        </w:rPr>
        <w:t>G.Srikanth, FCA</w:t>
      </w:r>
    </w:p>
    <w:p w14:paraId="20862661" w14:textId="557B1B0C" w:rsidR="00C41967" w:rsidRDefault="00C41967" w:rsidP="00602004">
      <w:pPr>
        <w:jc w:val="center"/>
        <w:rPr>
          <w:sz w:val="28"/>
        </w:rPr>
      </w:pPr>
      <w:r>
        <w:rPr>
          <w:sz w:val="28"/>
        </w:rPr>
        <w:t>Partner</w:t>
      </w:r>
    </w:p>
    <w:p w14:paraId="2FAB95B2" w14:textId="6AFA546F" w:rsidR="00C41967" w:rsidRDefault="00C41967" w:rsidP="00602004">
      <w:pPr>
        <w:jc w:val="center"/>
        <w:rPr>
          <w:sz w:val="28"/>
        </w:rPr>
      </w:pPr>
      <w:r>
        <w:rPr>
          <w:sz w:val="28"/>
        </w:rPr>
        <w:t>GSV Associates, Chartered Accountants</w:t>
      </w:r>
    </w:p>
    <w:p w14:paraId="1AF39EBB" w14:textId="77777777" w:rsidR="00C41967" w:rsidRPr="00272F21" w:rsidRDefault="00C41967" w:rsidP="00602004">
      <w:pPr>
        <w:jc w:val="center"/>
        <w:rPr>
          <w:sz w:val="28"/>
        </w:rPr>
      </w:pPr>
    </w:p>
    <w:p w14:paraId="4A63E577" w14:textId="77777777" w:rsidR="00091B3E" w:rsidRDefault="00091B3E"/>
    <w:p w14:paraId="7566F545" w14:textId="40B6F76A" w:rsidR="00091B3E" w:rsidRDefault="00644D0E" w:rsidP="007911B7">
      <w:pPr>
        <w:jc w:val="both"/>
      </w:pPr>
      <w:r>
        <w:t>The</w:t>
      </w:r>
      <w:r w:rsidR="0068207E">
        <w:t xml:space="preserve"> spate of </w:t>
      </w:r>
      <w:r w:rsidR="00A336FF">
        <w:t xml:space="preserve">notifications, circulars and orders since the advent of GST </w:t>
      </w:r>
      <w:r>
        <w:t>has made it imperative that these are consolidated a</w:t>
      </w:r>
      <w:r w:rsidR="00A336FF">
        <w:t xml:space="preserve">t </w:t>
      </w:r>
      <w:r>
        <w:t>regular</w:t>
      </w:r>
      <w:r w:rsidR="00A336FF">
        <w:t xml:space="preserve"> intervals </w:t>
      </w:r>
      <w:r w:rsidR="00C41967">
        <w:t xml:space="preserve">and </w:t>
      </w:r>
      <w:r w:rsidR="00A336FF">
        <w:t>suitably dealt w</w:t>
      </w:r>
      <w:r w:rsidR="00C41967">
        <w:t>ith at the level of individual Enterprise</w:t>
      </w:r>
      <w:r w:rsidR="00A336FF">
        <w:t xml:space="preserve">.  </w:t>
      </w:r>
      <w:r w:rsidR="00C41967">
        <w:t>While m</w:t>
      </w:r>
      <w:r w:rsidR="00A336FF">
        <w:t>any of the notificat</w:t>
      </w:r>
      <w:r>
        <w:t>i</w:t>
      </w:r>
      <w:r w:rsidR="00A336FF">
        <w:t>ons deal with due dates of f</w:t>
      </w:r>
      <w:r w:rsidR="00C41967">
        <w:t xml:space="preserve">iling and extension thereof, </w:t>
      </w:r>
      <w:r w:rsidR="00A336FF">
        <w:t xml:space="preserve">there are </w:t>
      </w:r>
      <w:r w:rsidR="00AC3E0F">
        <w:t>other</w:t>
      </w:r>
      <w:r w:rsidR="00A336FF">
        <w:t xml:space="preserve"> notifications </w:t>
      </w:r>
      <w:r>
        <w:t xml:space="preserve">granting </w:t>
      </w:r>
      <w:r w:rsidR="00A336FF">
        <w:t>exempt</w:t>
      </w:r>
      <w:r>
        <w:t xml:space="preserve">ion from registration to suppliers of </w:t>
      </w:r>
      <w:r w:rsidR="00C41967">
        <w:t>certain goods and services</w:t>
      </w:r>
      <w:r w:rsidR="00A336FF">
        <w:t>, reduc</w:t>
      </w:r>
      <w:r>
        <w:t>ing</w:t>
      </w:r>
      <w:r w:rsidR="00A336FF">
        <w:t xml:space="preserve"> GST rates, provid</w:t>
      </w:r>
      <w:r>
        <w:t>ing</w:t>
      </w:r>
      <w:r w:rsidR="00A336FF">
        <w:t xml:space="preserve"> </w:t>
      </w:r>
      <w:r w:rsidR="0014440C">
        <w:t xml:space="preserve">alternative </w:t>
      </w:r>
      <w:r w:rsidR="00A336FF">
        <w:t>forward charge mechanism for those services that were hitherto subject only to Reverse Charge and so on.</w:t>
      </w:r>
    </w:p>
    <w:p w14:paraId="09DC5F9E" w14:textId="77777777" w:rsidR="00A336FF" w:rsidRDefault="00A336FF" w:rsidP="007911B7">
      <w:pPr>
        <w:jc w:val="both"/>
      </w:pPr>
    </w:p>
    <w:p w14:paraId="664CD423" w14:textId="1EFB0F5C" w:rsidR="00A336FF" w:rsidRDefault="00A336FF" w:rsidP="007911B7">
      <w:pPr>
        <w:jc w:val="both"/>
      </w:pPr>
      <w:r>
        <w:t xml:space="preserve">This update on GST is intended to </w:t>
      </w:r>
      <w:r w:rsidR="00CB2570">
        <w:t>familiarize</w:t>
      </w:r>
      <w:r>
        <w:t xml:space="preserve"> the reader on some important changes, with particular reference to leather industry.</w:t>
      </w:r>
    </w:p>
    <w:p w14:paraId="2C733535" w14:textId="77777777" w:rsidR="00A336FF" w:rsidRDefault="00A336FF" w:rsidP="007911B7">
      <w:pPr>
        <w:jc w:val="both"/>
      </w:pPr>
    </w:p>
    <w:p w14:paraId="5ACCFAB5" w14:textId="77777777" w:rsidR="00A336FF" w:rsidRPr="00750B77" w:rsidRDefault="00A336FF" w:rsidP="007911B7">
      <w:pPr>
        <w:jc w:val="both"/>
        <w:rPr>
          <w:b/>
          <w:u w:val="single"/>
        </w:rPr>
      </w:pPr>
      <w:r w:rsidRPr="00750B77">
        <w:rPr>
          <w:b/>
          <w:u w:val="single"/>
        </w:rPr>
        <w:t>Revised Due Dates for Filing returns:</w:t>
      </w:r>
    </w:p>
    <w:p w14:paraId="04BAE466" w14:textId="77777777" w:rsidR="00A336FF" w:rsidRDefault="00A336FF" w:rsidP="007911B7">
      <w:pPr>
        <w:jc w:val="both"/>
      </w:pPr>
    </w:p>
    <w:p w14:paraId="10D8CD16" w14:textId="12282B1D" w:rsidR="00A336FF" w:rsidRDefault="00644D0E" w:rsidP="007911B7">
      <w:pPr>
        <w:jc w:val="both"/>
      </w:pPr>
      <w:r>
        <w:t>A regular dealer is required</w:t>
      </w:r>
      <w:r w:rsidR="00896CC5">
        <w:rPr>
          <w:rStyle w:val="FootnoteReference"/>
        </w:rPr>
        <w:footnoteReference w:id="1"/>
      </w:r>
      <w:r>
        <w:t xml:space="preserve"> to file inter alia, the following 3 returns within the dates mentioned below:  </w:t>
      </w:r>
    </w:p>
    <w:p w14:paraId="68408906" w14:textId="77777777" w:rsidR="00A336FF" w:rsidRDefault="00A336FF" w:rsidP="007911B7">
      <w:pPr>
        <w:jc w:val="both"/>
      </w:pPr>
    </w:p>
    <w:tbl>
      <w:tblPr>
        <w:tblStyle w:val="TableGrid"/>
        <w:tblW w:w="0" w:type="auto"/>
        <w:jc w:val="center"/>
        <w:tblLook w:val="04A0" w:firstRow="1" w:lastRow="0" w:firstColumn="1" w:lastColumn="0" w:noHBand="0" w:noVBand="1"/>
      </w:tblPr>
      <w:tblGrid>
        <w:gridCol w:w="2252"/>
        <w:gridCol w:w="2253"/>
        <w:gridCol w:w="2253"/>
      </w:tblGrid>
      <w:tr w:rsidR="00A336FF" w14:paraId="7148DD36" w14:textId="77777777" w:rsidTr="00A336FF">
        <w:trPr>
          <w:jc w:val="center"/>
        </w:trPr>
        <w:tc>
          <w:tcPr>
            <w:tcW w:w="2252" w:type="dxa"/>
          </w:tcPr>
          <w:p w14:paraId="0ED5A8B0" w14:textId="77777777" w:rsidR="00A336FF" w:rsidRDefault="00A336FF" w:rsidP="007911B7">
            <w:pPr>
              <w:jc w:val="both"/>
            </w:pPr>
            <w:r>
              <w:t>GSTR 1</w:t>
            </w:r>
          </w:p>
        </w:tc>
        <w:tc>
          <w:tcPr>
            <w:tcW w:w="2253" w:type="dxa"/>
          </w:tcPr>
          <w:p w14:paraId="35B524EE" w14:textId="77777777" w:rsidR="00A336FF" w:rsidRDefault="00A336FF" w:rsidP="007911B7">
            <w:pPr>
              <w:jc w:val="both"/>
            </w:pPr>
            <w:r>
              <w:t>GSTR 2</w:t>
            </w:r>
          </w:p>
        </w:tc>
        <w:tc>
          <w:tcPr>
            <w:tcW w:w="2253" w:type="dxa"/>
          </w:tcPr>
          <w:p w14:paraId="015692C2" w14:textId="77777777" w:rsidR="00A336FF" w:rsidRDefault="00A336FF" w:rsidP="007911B7">
            <w:pPr>
              <w:jc w:val="both"/>
            </w:pPr>
            <w:r>
              <w:t>GSTR 3</w:t>
            </w:r>
          </w:p>
        </w:tc>
      </w:tr>
      <w:tr w:rsidR="00A336FF" w14:paraId="1AC84645" w14:textId="77777777" w:rsidTr="00A336FF">
        <w:trPr>
          <w:jc w:val="center"/>
        </w:trPr>
        <w:tc>
          <w:tcPr>
            <w:tcW w:w="2252" w:type="dxa"/>
          </w:tcPr>
          <w:p w14:paraId="135B5E6D" w14:textId="2700D14F" w:rsidR="00A336FF" w:rsidRDefault="00CB2570" w:rsidP="00CB2570">
            <w:pPr>
              <w:jc w:val="both"/>
            </w:pPr>
            <w:r>
              <w:t xml:space="preserve">On or before </w:t>
            </w:r>
            <w:r w:rsidR="00A336FF">
              <w:t>10</w:t>
            </w:r>
            <w:r w:rsidR="00A336FF" w:rsidRPr="00A336FF">
              <w:rPr>
                <w:vertAlign w:val="superscript"/>
              </w:rPr>
              <w:t>th</w:t>
            </w:r>
            <w:r w:rsidR="00A336FF">
              <w:t xml:space="preserve"> of succeeding month</w:t>
            </w:r>
          </w:p>
        </w:tc>
        <w:tc>
          <w:tcPr>
            <w:tcW w:w="2253" w:type="dxa"/>
          </w:tcPr>
          <w:p w14:paraId="334239B7" w14:textId="77777777" w:rsidR="00A336FF" w:rsidRDefault="00A336FF" w:rsidP="007911B7">
            <w:pPr>
              <w:jc w:val="both"/>
            </w:pPr>
            <w:r>
              <w:t>11</w:t>
            </w:r>
            <w:r w:rsidRPr="00A336FF">
              <w:rPr>
                <w:vertAlign w:val="superscript"/>
              </w:rPr>
              <w:t>th</w:t>
            </w:r>
            <w:r>
              <w:t xml:space="preserve"> to 15</w:t>
            </w:r>
            <w:r w:rsidRPr="00A336FF">
              <w:rPr>
                <w:vertAlign w:val="superscript"/>
              </w:rPr>
              <w:t>th</w:t>
            </w:r>
            <w:r>
              <w:t xml:space="preserve"> of succeeding month</w:t>
            </w:r>
          </w:p>
        </w:tc>
        <w:tc>
          <w:tcPr>
            <w:tcW w:w="2253" w:type="dxa"/>
          </w:tcPr>
          <w:p w14:paraId="0EACEB37" w14:textId="0E50B364" w:rsidR="00A336FF" w:rsidRDefault="00BD568B" w:rsidP="00BD568B">
            <w:pPr>
              <w:jc w:val="both"/>
            </w:pPr>
            <w:r>
              <w:t xml:space="preserve">On or </w:t>
            </w:r>
            <w:proofErr w:type="gramStart"/>
            <w:r>
              <w:t xml:space="preserve">before </w:t>
            </w:r>
            <w:r w:rsidR="00A336FF">
              <w:t xml:space="preserve"> 20</w:t>
            </w:r>
            <w:proofErr w:type="gramEnd"/>
            <w:r w:rsidR="00A336FF" w:rsidRPr="00A336FF">
              <w:rPr>
                <w:vertAlign w:val="superscript"/>
              </w:rPr>
              <w:t>th</w:t>
            </w:r>
            <w:r w:rsidR="00A336FF">
              <w:t xml:space="preserve"> of succeeding month</w:t>
            </w:r>
          </w:p>
        </w:tc>
      </w:tr>
      <w:tr w:rsidR="00A336FF" w14:paraId="51EAA708" w14:textId="77777777" w:rsidTr="00A336FF">
        <w:trPr>
          <w:jc w:val="center"/>
        </w:trPr>
        <w:tc>
          <w:tcPr>
            <w:tcW w:w="2252" w:type="dxa"/>
          </w:tcPr>
          <w:p w14:paraId="103C7BC4" w14:textId="77777777" w:rsidR="00A336FF" w:rsidRDefault="00A336FF" w:rsidP="007911B7">
            <w:pPr>
              <w:jc w:val="both"/>
            </w:pPr>
          </w:p>
        </w:tc>
        <w:tc>
          <w:tcPr>
            <w:tcW w:w="2253" w:type="dxa"/>
          </w:tcPr>
          <w:p w14:paraId="7B64D89B" w14:textId="77777777" w:rsidR="00A336FF" w:rsidRDefault="00A336FF" w:rsidP="007911B7">
            <w:pPr>
              <w:jc w:val="both"/>
            </w:pPr>
          </w:p>
        </w:tc>
        <w:tc>
          <w:tcPr>
            <w:tcW w:w="2253" w:type="dxa"/>
          </w:tcPr>
          <w:p w14:paraId="66D69A4F" w14:textId="77777777" w:rsidR="00A336FF" w:rsidRDefault="00A336FF" w:rsidP="007911B7">
            <w:pPr>
              <w:jc w:val="both"/>
            </w:pPr>
          </w:p>
        </w:tc>
      </w:tr>
    </w:tbl>
    <w:p w14:paraId="3216D20C" w14:textId="77777777" w:rsidR="00A336FF" w:rsidRDefault="00A336FF" w:rsidP="007911B7">
      <w:pPr>
        <w:jc w:val="both"/>
      </w:pPr>
    </w:p>
    <w:p w14:paraId="3084DEAB" w14:textId="77777777" w:rsidR="00A336FF" w:rsidRDefault="00A336FF" w:rsidP="007911B7">
      <w:pPr>
        <w:jc w:val="both"/>
      </w:pPr>
    </w:p>
    <w:p w14:paraId="745F0475" w14:textId="5B2EFB3D" w:rsidR="00EC4543" w:rsidRDefault="00C41967" w:rsidP="007911B7">
      <w:pPr>
        <w:jc w:val="both"/>
      </w:pPr>
      <w:r>
        <w:t>Sensing the difficulty of many tax payers in transitioning to a new system of filing returns an</w:t>
      </w:r>
      <w:r w:rsidR="00896CC5">
        <w:t>d with the technical glitches in GSTN portal</w:t>
      </w:r>
      <w:r>
        <w:t>, a</w:t>
      </w:r>
      <w:r w:rsidR="00A336FF">
        <w:t xml:space="preserve"> summary </w:t>
      </w:r>
      <w:r w:rsidR="002F229A">
        <w:t xml:space="preserve">monthly </w:t>
      </w:r>
      <w:r w:rsidR="00A336FF">
        <w:t xml:space="preserve">return in </w:t>
      </w:r>
      <w:r w:rsidR="00B22ABF">
        <w:t>GST</w:t>
      </w:r>
      <w:r w:rsidR="003965F8">
        <w:t>R 3B</w:t>
      </w:r>
      <w:r>
        <w:rPr>
          <w:rStyle w:val="FootnoteReference"/>
        </w:rPr>
        <w:footnoteReference w:id="2"/>
      </w:r>
      <w:r w:rsidR="003965F8">
        <w:t xml:space="preserve"> was introduced</w:t>
      </w:r>
      <w:r w:rsidR="002F229A">
        <w:t xml:space="preserve"> as a stop-</w:t>
      </w:r>
      <w:r>
        <w:t>gap arrangement</w:t>
      </w:r>
      <w:r w:rsidR="003965F8">
        <w:t xml:space="preserve">.  </w:t>
      </w:r>
      <w:r w:rsidR="00AB2922">
        <w:t xml:space="preserve">The due date for GSTR 3B for July and August is </w:t>
      </w:r>
      <w:r w:rsidR="00CB2570">
        <w:t>of course</w:t>
      </w:r>
      <w:r w:rsidR="00AB2922">
        <w:t xml:space="preserve"> well past us </w:t>
      </w:r>
      <w:r w:rsidR="00CB2570">
        <w:t>(Aug</w:t>
      </w:r>
      <w:r w:rsidR="00AB2922">
        <w:t xml:space="preserve"> 20 / Sept 20) </w:t>
      </w:r>
      <w:r w:rsidR="00E43234">
        <w:t>and hopefully filed</w:t>
      </w:r>
      <w:r w:rsidR="00AB2922">
        <w:t>.   If you have not filed for July yet, you can still file without Late fee</w:t>
      </w:r>
      <w:r w:rsidR="00AB2922">
        <w:rPr>
          <w:rStyle w:val="FootnoteReference"/>
        </w:rPr>
        <w:footnoteReference w:id="3"/>
      </w:r>
      <w:r w:rsidR="00AB2922">
        <w:t xml:space="preserve">!   Here is more good news! Don’t worry if your GSTR 3B contains errors - you can correct any inaccuracies </w:t>
      </w:r>
      <w:r w:rsidR="002F229A">
        <w:t>through</w:t>
      </w:r>
      <w:r w:rsidR="00AB2922">
        <w:t xml:space="preserve"> the GSTR 1 and 2 subsequently</w:t>
      </w:r>
      <w:r w:rsidR="00AB2922">
        <w:rPr>
          <w:rStyle w:val="FootnoteReference"/>
        </w:rPr>
        <w:footnoteReference w:id="4"/>
      </w:r>
      <w:r w:rsidR="00AB2922">
        <w:t xml:space="preserve">.  </w:t>
      </w:r>
      <w:r w:rsidR="00CB2570">
        <w:t>So,</w:t>
      </w:r>
      <w:r w:rsidR="00AB2922">
        <w:t xml:space="preserve"> gear </w:t>
      </w:r>
      <w:r w:rsidR="002F229A">
        <w:t>y</w:t>
      </w:r>
      <w:r w:rsidR="00AB2922">
        <w:t xml:space="preserve">ourselves up to file GSTR 3B for September and subsequent months for which the due date falls on </w:t>
      </w:r>
      <w:r w:rsidR="00E43234">
        <w:t>20</w:t>
      </w:r>
      <w:r w:rsidR="00E43234" w:rsidRPr="00E43234">
        <w:rPr>
          <w:vertAlign w:val="superscript"/>
        </w:rPr>
        <w:t>th</w:t>
      </w:r>
      <w:r w:rsidR="00E43234">
        <w:t xml:space="preserve"> of the subsequent month</w:t>
      </w:r>
      <w:r w:rsidR="00E43234">
        <w:rPr>
          <w:rStyle w:val="FootnoteReference"/>
        </w:rPr>
        <w:footnoteReference w:id="5"/>
      </w:r>
      <w:r w:rsidR="00E43234">
        <w:t xml:space="preserve">. </w:t>
      </w:r>
    </w:p>
    <w:p w14:paraId="7C3B0180" w14:textId="77777777" w:rsidR="00EC4543" w:rsidRDefault="00EC4543" w:rsidP="007911B7">
      <w:pPr>
        <w:jc w:val="both"/>
      </w:pPr>
    </w:p>
    <w:p w14:paraId="7EB57538" w14:textId="2812AE6B" w:rsidR="00EC4543" w:rsidRDefault="00AB2922" w:rsidP="007911B7">
      <w:pPr>
        <w:jc w:val="both"/>
      </w:pPr>
      <w:r>
        <w:t>T</w:t>
      </w:r>
      <w:r w:rsidR="00E43234">
        <w:t>he due dates for filing the regular GSTR 1, 2 and 3 have been notified</w:t>
      </w:r>
      <w:r>
        <w:t xml:space="preserve"> for July</w:t>
      </w:r>
      <w:r w:rsidR="00E43234">
        <w:rPr>
          <w:rStyle w:val="FootnoteReference"/>
        </w:rPr>
        <w:footnoteReference w:id="6"/>
      </w:r>
      <w:r w:rsidR="00E43234">
        <w:t xml:space="preserve">. </w:t>
      </w:r>
      <w:r w:rsidR="00A336FF">
        <w:t>GSTR 1</w:t>
      </w:r>
      <w:r w:rsidR="00E43234">
        <w:t xml:space="preserve"> – Return o</w:t>
      </w:r>
      <w:r>
        <w:t>f</w:t>
      </w:r>
      <w:r w:rsidR="00E43234">
        <w:t xml:space="preserve"> Outward Supplies</w:t>
      </w:r>
      <w:r w:rsidR="002F229A">
        <w:t xml:space="preserve"> - </w:t>
      </w:r>
      <w:r w:rsidR="000C5BCE">
        <w:t xml:space="preserve"> </w:t>
      </w:r>
      <w:r w:rsidR="00A336FF">
        <w:t>is due for filing on</w:t>
      </w:r>
      <w:r w:rsidR="00E43234">
        <w:t xml:space="preserve"> or before</w:t>
      </w:r>
      <w:r w:rsidR="00A336FF">
        <w:t xml:space="preserve"> 3</w:t>
      </w:r>
      <w:r w:rsidR="00A336FF" w:rsidRPr="00A336FF">
        <w:rPr>
          <w:vertAlign w:val="superscript"/>
        </w:rPr>
        <w:t>rd</w:t>
      </w:r>
      <w:r w:rsidR="00A336FF">
        <w:t xml:space="preserve"> October </w:t>
      </w:r>
      <w:r w:rsidR="000C5BCE">
        <w:t xml:space="preserve">if your turnover is in </w:t>
      </w:r>
      <w:r w:rsidR="001A1D34" w:rsidRPr="001A1D34">
        <w:lastRenderedPageBreak/>
        <w:t>excess of Rs. 100 crores</w:t>
      </w:r>
      <w:r w:rsidR="000C5BCE" w:rsidRPr="001A1D34">
        <w:t>, and on 10</w:t>
      </w:r>
      <w:r w:rsidR="000C5BCE" w:rsidRPr="001A1D34">
        <w:rPr>
          <w:vertAlign w:val="superscript"/>
        </w:rPr>
        <w:t>th</w:t>
      </w:r>
      <w:r w:rsidR="000C5BCE" w:rsidRPr="001A1D34">
        <w:t xml:space="preserve"> October for all other cases.  GSTR 2 – Return of Outward</w:t>
      </w:r>
      <w:r w:rsidR="000C5BCE">
        <w:t xml:space="preserve"> Supplies</w:t>
      </w:r>
      <w:r w:rsidR="001A1D34">
        <w:t xml:space="preserve"> -</w:t>
      </w:r>
      <w:r w:rsidR="00EC4543">
        <w:t xml:space="preserve"> </w:t>
      </w:r>
      <w:r w:rsidR="00413C06">
        <w:t xml:space="preserve">falls due by </w:t>
      </w:r>
      <w:r w:rsidR="00EC4543">
        <w:t>31 October and GSTR</w:t>
      </w:r>
      <w:r w:rsidR="000C5BCE">
        <w:t xml:space="preserve"> 3 – Monthly return</w:t>
      </w:r>
      <w:r w:rsidR="00EC4543">
        <w:t xml:space="preserve"> shall be filed by 10</w:t>
      </w:r>
      <w:r w:rsidR="00EC4543" w:rsidRPr="00EC4543">
        <w:rPr>
          <w:vertAlign w:val="superscript"/>
        </w:rPr>
        <w:t>th</w:t>
      </w:r>
      <w:r w:rsidR="00EC4543">
        <w:t xml:space="preserve"> November.</w:t>
      </w:r>
    </w:p>
    <w:p w14:paraId="125EF0F0" w14:textId="77777777" w:rsidR="000C5BCE" w:rsidRDefault="00EC4543" w:rsidP="007911B7">
      <w:pPr>
        <w:jc w:val="both"/>
      </w:pPr>
      <w:r>
        <w:t xml:space="preserve"> </w:t>
      </w:r>
    </w:p>
    <w:p w14:paraId="5F4DE9F2" w14:textId="77777777" w:rsidR="00EC4543" w:rsidRDefault="00EC4543" w:rsidP="007911B7">
      <w:pPr>
        <w:jc w:val="both"/>
      </w:pPr>
      <w:r>
        <w:t xml:space="preserve">It may be noted that revised due dates for August and successive months are yet to be notified. </w:t>
      </w:r>
    </w:p>
    <w:p w14:paraId="4B14E30C" w14:textId="77777777" w:rsidR="00EC4543" w:rsidRDefault="00EC4543" w:rsidP="007911B7">
      <w:pPr>
        <w:jc w:val="both"/>
      </w:pPr>
    </w:p>
    <w:p w14:paraId="7B57200B" w14:textId="7BB38AEF" w:rsidR="000C5BCE" w:rsidRDefault="000C5BCE" w:rsidP="007911B7">
      <w:pPr>
        <w:jc w:val="both"/>
      </w:pPr>
      <w:r>
        <w:t xml:space="preserve">TRANS 1 which is the return that enables you to carry over the old duties and taxes as of 30 June 2016 </w:t>
      </w:r>
      <w:r w:rsidR="00413C06">
        <w:t xml:space="preserve">into your Electronic Credit Ledger </w:t>
      </w:r>
      <w:r>
        <w:t>is due for filing on 31</w:t>
      </w:r>
      <w:r w:rsidRPr="000C5BCE">
        <w:rPr>
          <w:vertAlign w:val="superscript"/>
        </w:rPr>
        <w:t>st</w:t>
      </w:r>
      <w:r>
        <w:t xml:space="preserve"> October 2017</w:t>
      </w:r>
      <w:r w:rsidR="00413C06">
        <w:rPr>
          <w:rStyle w:val="FootnoteReference"/>
        </w:rPr>
        <w:footnoteReference w:id="7"/>
      </w:r>
      <w:r w:rsidR="00413C06">
        <w:t>. I</w:t>
      </w:r>
      <w:r>
        <w:t>f you have filed your TRANS 1 return on or before 30 September 2017, you have just one chance to revise it</w:t>
      </w:r>
      <w:r w:rsidR="00413C06">
        <w:rPr>
          <w:rStyle w:val="FootnoteReference"/>
        </w:rPr>
        <w:footnoteReference w:id="8"/>
      </w:r>
      <w:r>
        <w:t xml:space="preserve">.  </w:t>
      </w:r>
      <w:r w:rsidR="00413C06">
        <w:t>Any hasty goof-ups here and you can repent at leisure!</w:t>
      </w:r>
    </w:p>
    <w:p w14:paraId="58753A49" w14:textId="77777777" w:rsidR="000C5BCE" w:rsidRDefault="000C5BCE" w:rsidP="007911B7">
      <w:pPr>
        <w:jc w:val="both"/>
      </w:pPr>
    </w:p>
    <w:p w14:paraId="2449D8C4" w14:textId="77777777" w:rsidR="000C5BCE" w:rsidRDefault="000C5BCE" w:rsidP="007911B7">
      <w:pPr>
        <w:jc w:val="both"/>
      </w:pPr>
      <w:r>
        <w:t xml:space="preserve">  </w:t>
      </w:r>
    </w:p>
    <w:p w14:paraId="71FC45D0" w14:textId="2C133F33" w:rsidR="003837C6" w:rsidRPr="00750B77" w:rsidRDefault="00947EDA" w:rsidP="007911B7">
      <w:pPr>
        <w:jc w:val="both"/>
        <w:rPr>
          <w:b/>
          <w:u w:val="single"/>
        </w:rPr>
      </w:pPr>
      <w:r>
        <w:rPr>
          <w:b/>
          <w:u w:val="single"/>
        </w:rPr>
        <w:t>Change in GST Rates – Unlearning and learning</w:t>
      </w:r>
    </w:p>
    <w:p w14:paraId="760F38A4" w14:textId="77777777" w:rsidR="003837C6" w:rsidRDefault="003837C6" w:rsidP="007911B7">
      <w:pPr>
        <w:jc w:val="both"/>
      </w:pPr>
    </w:p>
    <w:p w14:paraId="40FCE3FD" w14:textId="29F59C84" w:rsidR="003837C6" w:rsidRDefault="003837C6" w:rsidP="007D42FF">
      <w:pPr>
        <w:pStyle w:val="ListParagraph"/>
        <w:numPr>
          <w:ilvl w:val="0"/>
          <w:numId w:val="1"/>
        </w:numPr>
        <w:jc w:val="both"/>
      </w:pPr>
      <w:r>
        <w:t>Duty Credit Scrips, originally classified under 12% GST has been reclassified</w:t>
      </w:r>
      <w:r w:rsidR="00947EDA">
        <w:rPr>
          <w:rStyle w:val="FootnoteReference"/>
        </w:rPr>
        <w:footnoteReference w:id="9"/>
      </w:r>
      <w:r w:rsidR="00947EDA">
        <w:t xml:space="preserve"> under 5%</w:t>
      </w:r>
      <w:r>
        <w:t xml:space="preserve">.  </w:t>
      </w:r>
      <w:r w:rsidR="00413C06">
        <w:t xml:space="preserve">Good news for those looking </w:t>
      </w:r>
      <w:r w:rsidR="00947EDA">
        <w:t>to sell</w:t>
      </w:r>
      <w:r w:rsidR="00413C06">
        <w:t xml:space="preserve"> their MEIS Scrips.</w:t>
      </w:r>
    </w:p>
    <w:p w14:paraId="40C336DA" w14:textId="77777777" w:rsidR="00B66773" w:rsidRDefault="00B66773" w:rsidP="007911B7">
      <w:pPr>
        <w:jc w:val="both"/>
      </w:pPr>
    </w:p>
    <w:p w14:paraId="1C1C3026" w14:textId="1C2C038D" w:rsidR="00B66773" w:rsidRDefault="00B66773" w:rsidP="007D42FF">
      <w:pPr>
        <w:pStyle w:val="ListParagraph"/>
        <w:numPr>
          <w:ilvl w:val="0"/>
          <w:numId w:val="1"/>
        </w:numPr>
        <w:jc w:val="both"/>
      </w:pPr>
      <w:r>
        <w:t xml:space="preserve">GTA services which hitherto attracted a 5% GST </w:t>
      </w:r>
      <w:r w:rsidR="00CB2570">
        <w:t>(allowing</w:t>
      </w:r>
      <w:r>
        <w:t xml:space="preserve"> ITC for the customer, but not for the GTA) comes with an alternative</w:t>
      </w:r>
      <w:r w:rsidR="00413C06">
        <w:t>,</w:t>
      </w:r>
      <w:r>
        <w:t xml:space="preserve"> enabling the GTA to charge 12% GST with a right to claim ITC</w:t>
      </w:r>
      <w:r w:rsidR="00413C06">
        <w:rPr>
          <w:rStyle w:val="FootnoteReference"/>
        </w:rPr>
        <w:footnoteReference w:id="10"/>
      </w:r>
      <w:r>
        <w:t xml:space="preserve">.  Hence if your GTA starts charging GST at 12%, don’t </w:t>
      </w:r>
      <w:r w:rsidR="00947EDA">
        <w:t>be surprised!</w:t>
      </w:r>
    </w:p>
    <w:p w14:paraId="006FEB50" w14:textId="77777777" w:rsidR="00B66773" w:rsidRDefault="00B66773" w:rsidP="007911B7">
      <w:pPr>
        <w:jc w:val="both"/>
      </w:pPr>
    </w:p>
    <w:p w14:paraId="60A316CE" w14:textId="5A0A5185" w:rsidR="00661C59" w:rsidRDefault="00661C59" w:rsidP="007D42FF">
      <w:pPr>
        <w:pStyle w:val="ListParagraph"/>
        <w:numPr>
          <w:ilvl w:val="0"/>
          <w:numId w:val="1"/>
        </w:numPr>
        <w:jc w:val="both"/>
      </w:pPr>
      <w:r>
        <w:t xml:space="preserve">GST on Works Contract services in relation to pollution control or effluent treatment plant </w:t>
      </w:r>
      <w:r w:rsidR="00CB2570">
        <w:t>(except</w:t>
      </w:r>
      <w:r>
        <w:t xml:space="preserve"> when located as part of a factory)</w:t>
      </w:r>
      <w:r w:rsidR="00413C06">
        <w:t xml:space="preserve"> is now down</w:t>
      </w:r>
      <w:r>
        <w:t xml:space="preserve"> from 18% to 12%</w:t>
      </w:r>
      <w:r w:rsidR="00413C06">
        <w:rPr>
          <w:rStyle w:val="FootnoteReference"/>
        </w:rPr>
        <w:footnoteReference w:id="11"/>
      </w:r>
      <w:r>
        <w:t>.  This benefits CETPs who are already reeling under severe financial stress.  All payments from nodal agencies such as the Council for Leather Exports, under the ASIDE and other schemes will also get this benefit, with the cost of the project coming down to that extent.</w:t>
      </w:r>
    </w:p>
    <w:p w14:paraId="6BAEC642" w14:textId="77777777" w:rsidR="00661C59" w:rsidRDefault="00661C59" w:rsidP="007911B7">
      <w:pPr>
        <w:jc w:val="both"/>
      </w:pPr>
    </w:p>
    <w:p w14:paraId="25E08941" w14:textId="5A136D62" w:rsidR="000E5815" w:rsidRDefault="00495EE8" w:rsidP="007D42FF">
      <w:pPr>
        <w:pStyle w:val="ListParagraph"/>
        <w:numPr>
          <w:ilvl w:val="0"/>
          <w:numId w:val="1"/>
        </w:numPr>
        <w:jc w:val="both"/>
      </w:pPr>
      <w:r>
        <w:t>The</w:t>
      </w:r>
      <w:r w:rsidR="0062482E">
        <w:t xml:space="preserve"> undernoted </w:t>
      </w:r>
      <w:r>
        <w:t>notification</w:t>
      </w:r>
      <w:r w:rsidR="0062482E">
        <w:rPr>
          <w:rStyle w:val="FootnoteReference"/>
        </w:rPr>
        <w:footnoteReference w:id="12"/>
      </w:r>
      <w:r>
        <w:t xml:space="preserve"> </w:t>
      </w:r>
      <w:r w:rsidR="0062482E">
        <w:t>for</w:t>
      </w:r>
      <w:r>
        <w:t xml:space="preserve"> the Printing industry</w:t>
      </w:r>
      <w:r w:rsidR="00413C06">
        <w:t xml:space="preserve"> </w:t>
      </w:r>
      <w:r w:rsidR="0062482E">
        <w:t xml:space="preserve">could </w:t>
      </w:r>
      <w:r w:rsidR="00CB2570">
        <w:t>incidentally</w:t>
      </w:r>
      <w:r w:rsidR="00413C06">
        <w:t xml:space="preserve"> be of interest to the leather industry</w:t>
      </w:r>
      <w:r>
        <w:t xml:space="preserve">.  </w:t>
      </w:r>
      <w:r w:rsidR="00413C06">
        <w:t xml:space="preserve">This </w:t>
      </w:r>
      <w:r w:rsidR="0062482E">
        <w:t>addresses</w:t>
      </w:r>
      <w:r w:rsidR="00413C06">
        <w:t xml:space="preserve"> </w:t>
      </w:r>
      <w:r w:rsidR="007D42FF">
        <w:t xml:space="preserve">GST on </w:t>
      </w:r>
      <w:r w:rsidR="00CB2570">
        <w:t>job work</w:t>
      </w:r>
      <w:r w:rsidR="007D42FF">
        <w:t xml:space="preserve"> in relation to </w:t>
      </w:r>
      <w:r>
        <w:t>printing of newspapers, books,</w:t>
      </w:r>
      <w:r w:rsidR="00AF1836">
        <w:t xml:space="preserve"> </w:t>
      </w:r>
      <w:r>
        <w:t xml:space="preserve">journals and periodicals, </w:t>
      </w:r>
      <w:r w:rsidR="00413C06">
        <w:t>with</w:t>
      </w:r>
      <w:r>
        <w:t xml:space="preserve"> only</w:t>
      </w:r>
      <w:r w:rsidR="000E5815">
        <w:t xml:space="preserve"> content </w:t>
      </w:r>
      <w:r w:rsidR="00413C06">
        <w:t>supplied by the publisher.  T</w:t>
      </w:r>
      <w:r w:rsidR="000E5815">
        <w:t>he physical inputs including paper used for printing belong to the Printer.  The GST rate that was originally 5%</w:t>
      </w:r>
      <w:r w:rsidR="00157F05">
        <w:rPr>
          <w:rStyle w:val="FootnoteReference"/>
        </w:rPr>
        <w:footnoteReference w:id="13"/>
      </w:r>
      <w:r w:rsidR="000E5815">
        <w:t xml:space="preserve"> has now been revised upwards to 12% to enable the Printer absorb the input tax credits. </w:t>
      </w:r>
      <w:r w:rsidR="00413C06">
        <w:t xml:space="preserve"> </w:t>
      </w:r>
      <w:r w:rsidR="000E5815">
        <w:t xml:space="preserve"> </w:t>
      </w:r>
      <w:r w:rsidR="00AB2922">
        <w:t xml:space="preserve">This situation is </w:t>
      </w:r>
      <w:r w:rsidR="0062482E">
        <w:t>quite</w:t>
      </w:r>
      <w:r w:rsidR="00AB2922">
        <w:t xml:space="preserve"> similar to a Job Worker in the leather industry who uses his own chem</w:t>
      </w:r>
      <w:r w:rsidR="0062482E">
        <w:t>ic</w:t>
      </w:r>
      <w:r w:rsidR="00AB2922">
        <w:t>als in processing leather</w:t>
      </w:r>
      <w:r w:rsidR="00157F05">
        <w:t xml:space="preserve"> belonging to the Principal Manufacturer</w:t>
      </w:r>
      <w:r w:rsidR="00AB2922">
        <w:t xml:space="preserve">.  </w:t>
      </w:r>
      <w:r w:rsidR="00157F05">
        <w:t xml:space="preserve">Given that </w:t>
      </w:r>
      <w:r w:rsidR="00CB2570">
        <w:t>Job work</w:t>
      </w:r>
      <w:r w:rsidR="00157F05">
        <w:t xml:space="preserve"> falls under a common HSN of 9988, o</w:t>
      </w:r>
      <w:r w:rsidR="000E5815">
        <w:t>ne hopes that a similar notification will be issued to address the concerns of Job</w:t>
      </w:r>
      <w:r w:rsidR="00A31860">
        <w:t xml:space="preserve"> </w:t>
      </w:r>
      <w:r w:rsidR="000E5815">
        <w:t>workers</w:t>
      </w:r>
      <w:r w:rsidR="00157F05">
        <w:t xml:space="preserve"> in the leather industry</w:t>
      </w:r>
      <w:r w:rsidR="000E5815">
        <w:t xml:space="preserve">.  It would be in the fitness of things that </w:t>
      </w:r>
      <w:r w:rsidR="0062482E">
        <w:t>on the same principles</w:t>
      </w:r>
      <w:r w:rsidR="00413C06">
        <w:t xml:space="preserve">, </w:t>
      </w:r>
      <w:r w:rsidR="000E5815">
        <w:t xml:space="preserve">the GST rate </w:t>
      </w:r>
      <w:r w:rsidR="00413C06">
        <w:t>for ‘</w:t>
      </w:r>
      <w:r w:rsidR="00CB2570">
        <w:t>Job work</w:t>
      </w:r>
      <w:r w:rsidR="00413C06">
        <w:t xml:space="preserve"> with Material’ </w:t>
      </w:r>
      <w:r w:rsidR="000E5815">
        <w:t xml:space="preserve">is </w:t>
      </w:r>
      <w:r w:rsidR="00413C06">
        <w:t xml:space="preserve">also </w:t>
      </w:r>
      <w:r w:rsidR="000E5815">
        <w:t>revised upwards from 5%</w:t>
      </w:r>
      <w:r w:rsidR="00157F05">
        <w:t xml:space="preserve">.  This will enable </w:t>
      </w:r>
      <w:r w:rsidR="00CB2570">
        <w:t>job workers</w:t>
      </w:r>
      <w:r w:rsidR="0062482E">
        <w:t xml:space="preserve"> </w:t>
      </w:r>
      <w:r w:rsidR="00157F05">
        <w:t>to</w:t>
      </w:r>
      <w:r w:rsidR="0062482E">
        <w:t xml:space="preserve"> adjust </w:t>
      </w:r>
      <w:r w:rsidR="000E5815">
        <w:t xml:space="preserve">the </w:t>
      </w:r>
      <w:r w:rsidR="00413C06">
        <w:t xml:space="preserve">input credits </w:t>
      </w:r>
      <w:r w:rsidR="0062482E">
        <w:t>w</w:t>
      </w:r>
      <w:r w:rsidR="00413C06">
        <w:t xml:space="preserve">ithout the need to apply for refund. </w:t>
      </w:r>
    </w:p>
    <w:p w14:paraId="31FE484C" w14:textId="77777777" w:rsidR="00B66773" w:rsidRDefault="00B66773" w:rsidP="007911B7">
      <w:pPr>
        <w:jc w:val="both"/>
      </w:pPr>
    </w:p>
    <w:p w14:paraId="0328629B" w14:textId="3FB9F216" w:rsidR="00B66773" w:rsidRPr="00784877" w:rsidRDefault="00786148" w:rsidP="007911B7">
      <w:pPr>
        <w:jc w:val="both"/>
        <w:rPr>
          <w:b/>
          <w:u w:val="single"/>
        </w:rPr>
      </w:pPr>
      <w:r w:rsidRPr="00784877">
        <w:rPr>
          <w:b/>
          <w:u w:val="single"/>
        </w:rPr>
        <w:t xml:space="preserve">Exemptions </w:t>
      </w:r>
      <w:r w:rsidR="00077EF0" w:rsidRPr="00784877">
        <w:rPr>
          <w:b/>
          <w:u w:val="single"/>
        </w:rPr>
        <w:t>for certain Inter State activity</w:t>
      </w:r>
    </w:p>
    <w:p w14:paraId="5B891E97" w14:textId="77777777" w:rsidR="00077EF0" w:rsidRDefault="00077EF0" w:rsidP="007911B7">
      <w:pPr>
        <w:jc w:val="both"/>
      </w:pPr>
    </w:p>
    <w:p w14:paraId="36677693" w14:textId="3A3CB893" w:rsidR="00077EF0" w:rsidRPr="005F0B4B" w:rsidRDefault="00077EF0" w:rsidP="007911B7">
      <w:pPr>
        <w:jc w:val="both"/>
        <w:rPr>
          <w:i/>
          <w:u w:val="single"/>
        </w:rPr>
      </w:pPr>
      <w:r w:rsidRPr="005F0B4B">
        <w:rPr>
          <w:i/>
          <w:u w:val="single"/>
        </w:rPr>
        <w:t>Inter State Job Work:</w:t>
      </w:r>
    </w:p>
    <w:p w14:paraId="572C36B7" w14:textId="77777777" w:rsidR="00786148" w:rsidRDefault="00786148" w:rsidP="007911B7">
      <w:pPr>
        <w:jc w:val="both"/>
      </w:pPr>
    </w:p>
    <w:p w14:paraId="4681AAB5" w14:textId="50CC6EF3" w:rsidR="00077EF0" w:rsidRDefault="00784877" w:rsidP="007911B7">
      <w:pPr>
        <w:jc w:val="both"/>
      </w:pPr>
      <w:r>
        <w:t>For those who</w:t>
      </w:r>
      <w:r w:rsidR="00157F05">
        <w:t xml:space="preserve"> were doing business with small-</w:t>
      </w:r>
      <w:r>
        <w:t>scale un</w:t>
      </w:r>
      <w:r w:rsidR="00157F05">
        <w:t xml:space="preserve">registered job workers across </w:t>
      </w:r>
      <w:r>
        <w:t>State</w:t>
      </w:r>
      <w:r w:rsidR="00157F05">
        <w:t>s</w:t>
      </w:r>
      <w:r>
        <w:t xml:space="preserve">, GST was a spoil sport.  </w:t>
      </w:r>
      <w:r w:rsidR="00157F05">
        <w:t xml:space="preserve">In terms of </w:t>
      </w:r>
      <w:r>
        <w:t>the CGST Act</w:t>
      </w:r>
      <w:r w:rsidR="00157F05">
        <w:rPr>
          <w:rStyle w:val="FootnoteReference"/>
        </w:rPr>
        <w:footnoteReference w:id="14"/>
      </w:r>
      <w:r>
        <w:t>, any one engaged in supply of goods or services across States would have to mandatorily register</w:t>
      </w:r>
      <w:r w:rsidR="00AB2922">
        <w:t xml:space="preserve"> himself</w:t>
      </w:r>
      <w:r>
        <w:t xml:space="preserve"> under GST.</w:t>
      </w:r>
      <w:r w:rsidR="00AB2922">
        <w:t xml:space="preserve"> W</w:t>
      </w:r>
      <w:r w:rsidR="00157F05">
        <w:t>ith many small-scale J</w:t>
      </w:r>
      <w:r>
        <w:t>ob</w:t>
      </w:r>
      <w:r w:rsidR="00157F05">
        <w:t xml:space="preserve"> W</w:t>
      </w:r>
      <w:r>
        <w:t>orkers refusing to register, manufacturers in other States were left in a bind.  Now, t</w:t>
      </w:r>
      <w:r w:rsidR="00786148">
        <w:t xml:space="preserve">hanks to </w:t>
      </w:r>
      <w:r>
        <w:t>the undernoted notification</w:t>
      </w:r>
      <w:r>
        <w:rPr>
          <w:rStyle w:val="FootnoteReference"/>
        </w:rPr>
        <w:footnoteReference w:id="15"/>
      </w:r>
      <w:r w:rsidR="00786148">
        <w:t xml:space="preserve">, unregistered Job workers who are not liable to get registered can </w:t>
      </w:r>
      <w:r>
        <w:t>now engage</w:t>
      </w:r>
      <w:r w:rsidR="00786148">
        <w:t xml:space="preserve"> in inter-state supply of services without </w:t>
      </w:r>
      <w:r w:rsidR="00F5628A">
        <w:t>the hassle of registering</w:t>
      </w:r>
      <w:r w:rsidR="00786148">
        <w:t xml:space="preserve"> themselves.  </w:t>
      </w:r>
      <w:r>
        <w:t xml:space="preserve">Subject to the condition that </w:t>
      </w:r>
      <w:r w:rsidR="00786148">
        <w:t>the services are in relati</w:t>
      </w:r>
      <w:r>
        <w:t>on to goods requiring Eway Bill, such Job Workers have been exempted from registration. The flip side though is that the</w:t>
      </w:r>
      <w:r w:rsidR="00786148">
        <w:t xml:space="preserve"> goods sent on job work </w:t>
      </w:r>
      <w:r>
        <w:t xml:space="preserve">to an unregistered dealer </w:t>
      </w:r>
      <w:r w:rsidR="00786148">
        <w:t>do</w:t>
      </w:r>
      <w:r>
        <w:t>es</w:t>
      </w:r>
      <w:r w:rsidR="00786148">
        <w:t xml:space="preserve"> not </w:t>
      </w:r>
      <w:r>
        <w:t xml:space="preserve">get the benefit of </w:t>
      </w:r>
      <w:r w:rsidR="00F5628A">
        <w:t xml:space="preserve">uninterrupted </w:t>
      </w:r>
      <w:r>
        <w:t>input credit</w:t>
      </w:r>
      <w:r w:rsidR="00157F05">
        <w:t xml:space="preserve"> nor the other benefits of </w:t>
      </w:r>
      <w:r w:rsidR="00CB2570">
        <w:t>Job work</w:t>
      </w:r>
      <w:r w:rsidR="00157F05">
        <w:t xml:space="preserve"> as per the CGST Act</w:t>
      </w:r>
      <w:r>
        <w:t xml:space="preserve">.  </w:t>
      </w:r>
      <w:r w:rsidR="00157F05">
        <w:t>For instance, t</w:t>
      </w:r>
      <w:r>
        <w:t>he in</w:t>
      </w:r>
      <w:r w:rsidR="00786148">
        <w:t xml:space="preserve">put credit </w:t>
      </w:r>
      <w:r>
        <w:t>in respect of</w:t>
      </w:r>
      <w:r w:rsidR="00786148">
        <w:t xml:space="preserve"> the goods sent out has to be reversed by the Principal manufacturer only to be restored when the Job worker returns the finished goods.  </w:t>
      </w:r>
      <w:r w:rsidR="00CB2570">
        <w:t xml:space="preserve">The goods can also not be supplied directly from the unregistered Job worker place to the customer.  </w:t>
      </w:r>
      <w:r w:rsidR="00786148">
        <w:t>The activity would also entail payment of GST by Reverse Charge Mechanism.</w:t>
      </w:r>
    </w:p>
    <w:p w14:paraId="515785C4" w14:textId="77777777" w:rsidR="00077EF0" w:rsidRDefault="00077EF0" w:rsidP="007911B7">
      <w:pPr>
        <w:jc w:val="both"/>
      </w:pPr>
    </w:p>
    <w:p w14:paraId="0A09F4E3" w14:textId="77777777" w:rsidR="00CB2570" w:rsidRDefault="00CB2570" w:rsidP="007911B7">
      <w:pPr>
        <w:jc w:val="both"/>
      </w:pPr>
    </w:p>
    <w:p w14:paraId="3B044CF5" w14:textId="77777777" w:rsidR="00CB2570" w:rsidRDefault="00CB2570" w:rsidP="007911B7">
      <w:pPr>
        <w:jc w:val="both"/>
      </w:pPr>
    </w:p>
    <w:p w14:paraId="25B3828D" w14:textId="77777777" w:rsidR="00077EF0" w:rsidRPr="005F0B4B" w:rsidRDefault="00077EF0" w:rsidP="007911B7">
      <w:pPr>
        <w:jc w:val="both"/>
        <w:rPr>
          <w:i/>
          <w:u w:val="single"/>
        </w:rPr>
      </w:pPr>
      <w:r w:rsidRPr="005F0B4B">
        <w:rPr>
          <w:i/>
          <w:u w:val="single"/>
        </w:rPr>
        <w:t>Inter State supply of Handicraft Items:</w:t>
      </w:r>
    </w:p>
    <w:p w14:paraId="1E69B172" w14:textId="77777777" w:rsidR="00077EF0" w:rsidRDefault="00077EF0" w:rsidP="007911B7">
      <w:pPr>
        <w:jc w:val="both"/>
      </w:pPr>
    </w:p>
    <w:p w14:paraId="52BB8F12" w14:textId="6C1E09DC" w:rsidR="00786148" w:rsidRDefault="00784877" w:rsidP="007911B7">
      <w:pPr>
        <w:jc w:val="both"/>
      </w:pPr>
      <w:r>
        <w:t>A similar exemption is provided for supply of l</w:t>
      </w:r>
      <w:r w:rsidR="00077EF0">
        <w:t xml:space="preserve">eather articles falling under 4201, 4202 and 4203 </w:t>
      </w:r>
      <w:r w:rsidR="007911B7">
        <w:t xml:space="preserve">from one State to another.   The supplier of such handicraft goods is exempted from </w:t>
      </w:r>
      <w:r w:rsidR="00077EF0">
        <w:t xml:space="preserve">registration provided his annual </w:t>
      </w:r>
      <w:r w:rsidR="00F5628A">
        <w:t>taxable</w:t>
      </w:r>
      <w:r w:rsidR="00077EF0">
        <w:t xml:space="preserve"> supply from such activity does not exceed Rs. 20 lacs</w:t>
      </w:r>
      <w:r>
        <w:rPr>
          <w:rStyle w:val="FootnoteReference"/>
        </w:rPr>
        <w:footnoteReference w:id="16"/>
      </w:r>
      <w:r w:rsidR="00077EF0">
        <w:t xml:space="preserve">. </w:t>
      </w:r>
      <w:r w:rsidR="007911B7">
        <w:t xml:space="preserve">Another requirement is that the </w:t>
      </w:r>
      <w:r w:rsidR="00077EF0">
        <w:t>supplier would however require to have a PAN and should supply the goods only through an Eway bill.</w:t>
      </w:r>
      <w:r w:rsidR="00CB2570">
        <w:t xml:space="preserve">  </w:t>
      </w:r>
      <w:r w:rsidR="00CB2570">
        <w:t xml:space="preserve">This is apparently to remove the hurdles imposed on Inter-State supplies on Handicraft products.  </w:t>
      </w:r>
    </w:p>
    <w:p w14:paraId="5F7B3CB1" w14:textId="77777777" w:rsidR="005B078A" w:rsidRDefault="005B078A" w:rsidP="007911B7">
      <w:pPr>
        <w:jc w:val="both"/>
      </w:pPr>
    </w:p>
    <w:p w14:paraId="15D44791" w14:textId="04727ACC" w:rsidR="005B078A" w:rsidRPr="00CB2570" w:rsidRDefault="00CB2570" w:rsidP="007911B7">
      <w:pPr>
        <w:jc w:val="both"/>
        <w:rPr>
          <w:b/>
          <w:u w:val="single"/>
        </w:rPr>
      </w:pPr>
      <w:r>
        <w:rPr>
          <w:b/>
          <w:u w:val="single"/>
        </w:rPr>
        <w:t>Li</w:t>
      </w:r>
      <w:r w:rsidRPr="00CB2570">
        <w:rPr>
          <w:b/>
          <w:u w:val="single"/>
        </w:rPr>
        <w:t>beralization</w:t>
      </w:r>
      <w:r w:rsidR="005B078A" w:rsidRPr="00CB2570">
        <w:rPr>
          <w:b/>
          <w:u w:val="single"/>
        </w:rPr>
        <w:t xml:space="preserve"> of </w:t>
      </w:r>
      <w:r>
        <w:rPr>
          <w:b/>
          <w:u w:val="single"/>
        </w:rPr>
        <w:t xml:space="preserve">requirement of </w:t>
      </w:r>
      <w:r w:rsidR="005B078A" w:rsidRPr="00CB2570">
        <w:rPr>
          <w:b/>
          <w:u w:val="single"/>
        </w:rPr>
        <w:t>Bank Guarantee:</w:t>
      </w:r>
    </w:p>
    <w:p w14:paraId="69892D1F" w14:textId="77777777" w:rsidR="005B078A" w:rsidRDefault="005B078A" w:rsidP="007911B7">
      <w:pPr>
        <w:jc w:val="both"/>
      </w:pPr>
    </w:p>
    <w:p w14:paraId="40C2BD24" w14:textId="1DDF6B57" w:rsidR="005B078A" w:rsidRDefault="007911B7" w:rsidP="007911B7">
      <w:pPr>
        <w:jc w:val="both"/>
      </w:pPr>
      <w:r>
        <w:t xml:space="preserve">The undernoted </w:t>
      </w:r>
      <w:r w:rsidR="005B078A">
        <w:t>Circular</w:t>
      </w:r>
      <w:r>
        <w:rPr>
          <w:rStyle w:val="FootnoteReference"/>
        </w:rPr>
        <w:footnoteReference w:id="17"/>
      </w:r>
      <w:r w:rsidR="005B078A">
        <w:t xml:space="preserve"> is by </w:t>
      </w:r>
      <w:r>
        <w:t xml:space="preserve">far </w:t>
      </w:r>
      <w:r w:rsidR="005B078A">
        <w:t xml:space="preserve">the most comprehensive circular for those </w:t>
      </w:r>
      <w:r>
        <w:t>opting for the</w:t>
      </w:r>
      <w:r w:rsidR="005B078A">
        <w:t xml:space="preserve"> LUT/Bond Route of exports.  The key take-away is that an exporter registered with an Export Promotion Council can be allowed to submit Bond </w:t>
      </w:r>
      <w:r w:rsidR="00CB2570">
        <w:t>(where</w:t>
      </w:r>
      <w:r w:rsidR="005B078A">
        <w:t xml:space="preserve"> he does not meet the LUT conditions) </w:t>
      </w:r>
      <w:r w:rsidR="005B078A" w:rsidRPr="00F5628A">
        <w:rPr>
          <w:u w:val="single"/>
        </w:rPr>
        <w:t>without Bank Guarantee</w:t>
      </w:r>
      <w:r w:rsidR="005B078A">
        <w:t xml:space="preserve"> on submission of self-attested copy of the proof of registration with a registered Export Promotion Council.  </w:t>
      </w:r>
      <w:r>
        <w:t xml:space="preserve">This </w:t>
      </w:r>
      <w:r w:rsidR="00F5628A">
        <w:t>is a</w:t>
      </w:r>
      <w:r>
        <w:t xml:space="preserve"> welcome </w:t>
      </w:r>
      <w:r w:rsidR="00F5628A">
        <w:t xml:space="preserve">measure for </w:t>
      </w:r>
      <w:r>
        <w:t xml:space="preserve">CLE members who do not have the track-record for LUT entitlement.  </w:t>
      </w:r>
      <w:r w:rsidR="00CB2570">
        <w:t>Another important clarification is that</w:t>
      </w:r>
      <w:r w:rsidR="005B078A">
        <w:t xml:space="preserve">, for those having more than one registration </w:t>
      </w:r>
      <w:r w:rsidR="00CB2570">
        <w:t>(owing</w:t>
      </w:r>
      <w:r w:rsidR="005B078A">
        <w:t xml:space="preserve"> to place of business in more than one State), the aggregate foreign exchange realization would be reckoned </w:t>
      </w:r>
      <w:r w:rsidR="00CB2570">
        <w:t xml:space="preserve">for the </w:t>
      </w:r>
      <w:r w:rsidR="005B078A">
        <w:t xml:space="preserve">LUT entitlement.  This is a welcome step for those who may not meet the threshold requirement of foreign exchange remittance in each of the States, but nevertheless have an aggregate remittance exceeding the threshold. </w:t>
      </w:r>
    </w:p>
    <w:p w14:paraId="5588445C" w14:textId="77777777" w:rsidR="00BD568B" w:rsidRDefault="00BD568B" w:rsidP="007911B7">
      <w:pPr>
        <w:jc w:val="both"/>
      </w:pPr>
    </w:p>
    <w:p w14:paraId="6760C8EA" w14:textId="77777777" w:rsidR="00BD568B" w:rsidRPr="00750B77" w:rsidRDefault="00BD568B" w:rsidP="00BD568B">
      <w:pPr>
        <w:jc w:val="both"/>
        <w:rPr>
          <w:b/>
          <w:u w:val="single"/>
        </w:rPr>
      </w:pPr>
      <w:r w:rsidRPr="00750B77">
        <w:rPr>
          <w:b/>
          <w:u w:val="single"/>
        </w:rPr>
        <w:t>Application for refund – RFD 01 – Yet to be released:</w:t>
      </w:r>
    </w:p>
    <w:p w14:paraId="07089D91" w14:textId="77777777" w:rsidR="00BD568B" w:rsidRDefault="00BD568B" w:rsidP="00BD568B">
      <w:pPr>
        <w:jc w:val="both"/>
      </w:pPr>
    </w:p>
    <w:p w14:paraId="70916E02" w14:textId="40E495EA" w:rsidR="00BD568B" w:rsidRDefault="00BD568B" w:rsidP="00BD568B">
      <w:pPr>
        <w:jc w:val="both"/>
      </w:pPr>
      <w:r w:rsidRPr="00947EDA">
        <w:t>In terms of Rule 89 of CGST Rules read with Sec 54 of the CGST Act, application for refund</w:t>
      </w:r>
      <w:r>
        <w:t xml:space="preserve"> from electronic credit ledger (read Input Tax Credit) shall be made in Form RFD 01 in the appropriate annexure.  That the refund application has not been released in the GSTN Portal is a matter of concern for those who have opted for GST refund.  Even those who had opted for Duty Drawback In lieu of Central GST and Integrated GST refund would be unable to claim </w:t>
      </w:r>
      <w:r w:rsidRPr="00947EDA">
        <w:t>refund of State GST.  The situation is not any better for those who have opted for refund of IGST on exports. Here, the monthly return in GSTR 3 or 3B along with the Shipping Bill constitutes a valid application</w:t>
      </w:r>
      <w:r w:rsidRPr="00947EDA">
        <w:rPr>
          <w:rStyle w:val="FootnoteReference"/>
        </w:rPr>
        <w:footnoteReference w:id="18"/>
      </w:r>
      <w:r w:rsidRPr="00947EDA">
        <w:t>.  The export details in GSTR 1 is compared with the Customs Portal and then the refund if released.  However, with GSTR 3 not released and GSTR 3B not yet linked to GSTR 1, the processing of refund has become a non-starter.  The Government has assured</w:t>
      </w:r>
      <w:r w:rsidR="00446874">
        <w:rPr>
          <w:rStyle w:val="FootnoteReference"/>
        </w:rPr>
        <w:footnoteReference w:id="19"/>
      </w:r>
      <w:r w:rsidRPr="00947EDA">
        <w:t xml:space="preserve"> that an alternate mechanism of Form 3B linked </w:t>
      </w:r>
      <w:proofErr w:type="gramStart"/>
      <w:r w:rsidRPr="00947EDA">
        <w:t>to  GSTR</w:t>
      </w:r>
      <w:proofErr w:type="gramEnd"/>
      <w:r w:rsidRPr="00947EDA">
        <w:t xml:space="preserve"> 1 would be introduced</w:t>
      </w:r>
      <w:r>
        <w:t xml:space="preserve"> to process the refunds</w:t>
      </w:r>
      <w:r>
        <w:rPr>
          <w:rStyle w:val="FootnoteReference"/>
        </w:rPr>
        <w:footnoteReference w:id="20"/>
      </w:r>
      <w:r>
        <w:t xml:space="preserve">. One hopes this is done sooner, as huge amounts of input credits are locked in the system, sucking away scarce working capital. </w:t>
      </w:r>
      <w:r w:rsidR="00446874">
        <w:t xml:space="preserve">In any case, exporters should file GSTR 1 at the earliest for July </w:t>
      </w:r>
      <w:proofErr w:type="gramStart"/>
      <w:r w:rsidR="00446874">
        <w:t>( due</w:t>
      </w:r>
      <w:proofErr w:type="gramEnd"/>
      <w:r w:rsidR="00446874">
        <w:t xml:space="preserve"> date 3/10 October) to make them entitled to refund.</w:t>
      </w:r>
    </w:p>
    <w:p w14:paraId="67B35F6D" w14:textId="77777777" w:rsidR="00BD568B" w:rsidRDefault="00BD568B" w:rsidP="007911B7">
      <w:pPr>
        <w:jc w:val="both"/>
      </w:pPr>
    </w:p>
    <w:p w14:paraId="15C366D2" w14:textId="77777777" w:rsidR="007911B7" w:rsidRDefault="007911B7" w:rsidP="007911B7">
      <w:pPr>
        <w:jc w:val="both"/>
      </w:pPr>
    </w:p>
    <w:p w14:paraId="044C4CCD" w14:textId="140CB89A" w:rsidR="007911B7" w:rsidRPr="005F0B4B" w:rsidRDefault="005F0B4B" w:rsidP="007911B7">
      <w:pPr>
        <w:jc w:val="both"/>
        <w:rPr>
          <w:b/>
          <w:u w:val="single"/>
        </w:rPr>
      </w:pPr>
      <w:r>
        <w:rPr>
          <w:b/>
          <w:u w:val="single"/>
        </w:rPr>
        <w:t>Notifications galore – Need for stability in Tax Laws</w:t>
      </w:r>
    </w:p>
    <w:p w14:paraId="7E2B0506" w14:textId="77777777" w:rsidR="007911B7" w:rsidRDefault="007911B7" w:rsidP="007911B7">
      <w:pPr>
        <w:jc w:val="both"/>
      </w:pPr>
    </w:p>
    <w:p w14:paraId="0B0F1002" w14:textId="69884957" w:rsidR="005F0B4B" w:rsidRDefault="007911B7" w:rsidP="005F0B4B">
      <w:pPr>
        <w:jc w:val="both"/>
      </w:pPr>
      <w:r>
        <w:t xml:space="preserve">One will be amazed </w:t>
      </w:r>
      <w:r w:rsidR="00E05452">
        <w:t xml:space="preserve">by the sheer </w:t>
      </w:r>
      <w:r w:rsidR="00CB2570">
        <w:t>volume of N</w:t>
      </w:r>
      <w:r w:rsidR="00E05452">
        <w:t>otifica</w:t>
      </w:r>
      <w:r>
        <w:t>t</w:t>
      </w:r>
      <w:r w:rsidR="00E05452">
        <w:t>i</w:t>
      </w:r>
      <w:r w:rsidR="005F0B4B">
        <w:t>ons, Circulars, O</w:t>
      </w:r>
      <w:r w:rsidR="00F5628A">
        <w:t>rders and Press Releases issued since the implementation of GST.</w:t>
      </w:r>
      <w:r>
        <w:t xml:space="preserve">  When this piece went for print, </w:t>
      </w:r>
      <w:r w:rsidR="00CB2570">
        <w:t>N</w:t>
      </w:r>
      <w:r>
        <w:t xml:space="preserve">otifications numbered 35 </w:t>
      </w:r>
      <w:r w:rsidR="00CB2570">
        <w:t>in</w:t>
      </w:r>
      <w:r>
        <w:t xml:space="preserve"> Central Tax, 29 </w:t>
      </w:r>
      <w:r w:rsidR="00CB2570">
        <w:t>in</w:t>
      </w:r>
      <w:r>
        <w:t xml:space="preserve"> Central Tax (Rate), 8 </w:t>
      </w:r>
      <w:r w:rsidR="00CB2570">
        <w:t>in</w:t>
      </w:r>
      <w:r>
        <w:t xml:space="preserve"> Integrated Tax, 30 </w:t>
      </w:r>
      <w:r w:rsidR="00CB2570">
        <w:t>in</w:t>
      </w:r>
      <w:r>
        <w:t xml:space="preserve"> Integrated Tax (Rates) with an equal number </w:t>
      </w:r>
      <w:r w:rsidR="00CB2570">
        <w:t xml:space="preserve">in State Tax notified or expected </w:t>
      </w:r>
      <w:r>
        <w:t>to be notified.  On to</w:t>
      </w:r>
      <w:r w:rsidR="005F0B4B">
        <w:t>p of this, 7 C</w:t>
      </w:r>
      <w:r>
        <w:t xml:space="preserve">irculars </w:t>
      </w:r>
      <w:r w:rsidR="00CB2570">
        <w:t>in</w:t>
      </w:r>
      <w:r>
        <w:t xml:space="preserve"> Central T</w:t>
      </w:r>
      <w:r w:rsidR="00CB2570">
        <w:t>ax, 1 in</w:t>
      </w:r>
      <w:r>
        <w:t xml:space="preserve"> Integrated Tax and 3 Orders make the total announcements 113, not counting State</w:t>
      </w:r>
      <w:r w:rsidR="00F5628A">
        <w:t xml:space="preserve">, </w:t>
      </w:r>
      <w:r>
        <w:t xml:space="preserve">Union Territory </w:t>
      </w:r>
      <w:r w:rsidR="00F5628A">
        <w:t>and Compens</w:t>
      </w:r>
      <w:r w:rsidR="00CB2570">
        <w:t>a</w:t>
      </w:r>
      <w:r w:rsidR="00F5628A">
        <w:t xml:space="preserve">tion Cess </w:t>
      </w:r>
      <w:r>
        <w:t xml:space="preserve">announcements.  </w:t>
      </w:r>
      <w:r w:rsidR="00D14A7C">
        <w:t xml:space="preserve">One wonders if GST will also go the Excise/Customs way of administration by delegated </w:t>
      </w:r>
      <w:r w:rsidR="00CB2570">
        <w:t xml:space="preserve">/subordinate </w:t>
      </w:r>
      <w:r w:rsidR="00D14A7C">
        <w:t>legislations</w:t>
      </w:r>
      <w:r w:rsidR="00CB2570">
        <w:t>.  T</w:t>
      </w:r>
      <w:r w:rsidR="005F0B4B">
        <w:t>hese are early days yet</w:t>
      </w:r>
      <w:r w:rsidR="00F5628A">
        <w:t>,</w:t>
      </w:r>
      <w:r w:rsidR="005F0B4B">
        <w:t xml:space="preserve"> and </w:t>
      </w:r>
      <w:r w:rsidR="00CB2570">
        <w:t xml:space="preserve">with </w:t>
      </w:r>
      <w:r w:rsidR="005F0B4B">
        <w:t>many of the announcements br</w:t>
      </w:r>
      <w:r w:rsidR="00CB2570">
        <w:t>inging</w:t>
      </w:r>
      <w:r w:rsidR="005F0B4B">
        <w:t xml:space="preserve"> in relief to tax payers</w:t>
      </w:r>
      <w:r w:rsidR="00CB2570">
        <w:t>, one hopes tinkering in laws and regulations will gradually reduce.</w:t>
      </w:r>
      <w:r w:rsidR="00E05452">
        <w:t xml:space="preserve">  </w:t>
      </w:r>
      <w:r w:rsidR="00CB2570">
        <w:t>I</w:t>
      </w:r>
      <w:r w:rsidR="005F0B4B">
        <w:t xml:space="preserve">t should not be forgotten that </w:t>
      </w:r>
      <w:r w:rsidR="00CB2570">
        <w:t xml:space="preserve">stability in tax laws is important to maintain </w:t>
      </w:r>
      <w:r w:rsidR="00E05452">
        <w:t>simplicity</w:t>
      </w:r>
      <w:r w:rsidR="00CB2570">
        <w:t xml:space="preserve"> and promote </w:t>
      </w:r>
      <w:r w:rsidR="00E05452">
        <w:t>ease of business</w:t>
      </w:r>
      <w:r w:rsidR="00CB2570">
        <w:t>.  It is fervently hoped that f</w:t>
      </w:r>
      <w:r w:rsidR="00D14A7C">
        <w:t>urther changes t</w:t>
      </w:r>
      <w:r w:rsidR="00E05452">
        <w:t xml:space="preserve">hrough delegated legislation </w:t>
      </w:r>
      <w:r w:rsidR="00CB2570">
        <w:t>is m</w:t>
      </w:r>
      <w:r w:rsidR="00F5628A">
        <w:t xml:space="preserve">ade </w:t>
      </w:r>
      <w:r w:rsidR="00E05452">
        <w:t xml:space="preserve">only when absolutely necessary. </w:t>
      </w:r>
      <w:r w:rsidR="00F5628A">
        <w:t xml:space="preserve">  </w:t>
      </w:r>
    </w:p>
    <w:p w14:paraId="189D4A1D" w14:textId="4273D7E4" w:rsidR="007911B7" w:rsidRDefault="007911B7" w:rsidP="007911B7">
      <w:pPr>
        <w:jc w:val="both"/>
      </w:pPr>
    </w:p>
    <w:p w14:paraId="24E1CEA0" w14:textId="77777777" w:rsidR="00BD568B" w:rsidRDefault="00BD568B" w:rsidP="007911B7">
      <w:pPr>
        <w:jc w:val="both"/>
      </w:pPr>
    </w:p>
    <w:p w14:paraId="05C0A386" w14:textId="4A4E0586" w:rsidR="00BD568B" w:rsidRDefault="00BD568B" w:rsidP="00BD568B">
      <w:pPr>
        <w:jc w:val="center"/>
      </w:pPr>
      <w:r>
        <w:t>*********</w:t>
      </w:r>
    </w:p>
    <w:sectPr w:rsidR="00BD568B" w:rsidSect="006D083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A667D" w14:textId="77777777" w:rsidR="003E1F6D" w:rsidRDefault="003E1F6D" w:rsidP="00E43234">
      <w:r>
        <w:separator/>
      </w:r>
    </w:p>
  </w:endnote>
  <w:endnote w:type="continuationSeparator" w:id="0">
    <w:p w14:paraId="1C50C423" w14:textId="77777777" w:rsidR="003E1F6D" w:rsidRDefault="003E1F6D" w:rsidP="00E4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F5A19" w14:textId="77777777" w:rsidR="003E1F6D" w:rsidRDefault="003E1F6D" w:rsidP="00E43234">
      <w:r>
        <w:separator/>
      </w:r>
    </w:p>
  </w:footnote>
  <w:footnote w:type="continuationSeparator" w:id="0">
    <w:p w14:paraId="3DB68479" w14:textId="77777777" w:rsidR="003E1F6D" w:rsidRDefault="003E1F6D" w:rsidP="00E43234">
      <w:r>
        <w:continuationSeparator/>
      </w:r>
    </w:p>
  </w:footnote>
  <w:footnote w:id="1">
    <w:p w14:paraId="2A0AB49A" w14:textId="3B9E04B0" w:rsidR="00896CC5" w:rsidRDefault="00896CC5">
      <w:pPr>
        <w:pStyle w:val="FootnoteText"/>
      </w:pPr>
      <w:r>
        <w:rPr>
          <w:rStyle w:val="FootnoteReference"/>
        </w:rPr>
        <w:footnoteRef/>
      </w:r>
      <w:r>
        <w:t xml:space="preserve"> Sec 37 of CGST Act</w:t>
      </w:r>
    </w:p>
  </w:footnote>
  <w:footnote w:id="2">
    <w:p w14:paraId="634C8505" w14:textId="2337D197" w:rsidR="00C41967" w:rsidRDefault="00C41967">
      <w:pPr>
        <w:pStyle w:val="FootnoteText"/>
      </w:pPr>
      <w:r>
        <w:rPr>
          <w:rStyle w:val="FootnoteReference"/>
        </w:rPr>
        <w:footnoteRef/>
      </w:r>
      <w:r>
        <w:t xml:space="preserve"> </w:t>
      </w:r>
      <w:r w:rsidR="002F229A">
        <w:t>Notn.17/2017 amending CGST Rules</w:t>
      </w:r>
    </w:p>
  </w:footnote>
  <w:footnote w:id="3">
    <w:p w14:paraId="7FA15341" w14:textId="77777777" w:rsidR="00AB2922" w:rsidRDefault="00AB2922" w:rsidP="00AB2922">
      <w:pPr>
        <w:pStyle w:val="FootnoteText"/>
      </w:pPr>
      <w:r>
        <w:rPr>
          <w:rStyle w:val="FootnoteReference"/>
        </w:rPr>
        <w:footnoteRef/>
      </w:r>
      <w:r>
        <w:t xml:space="preserve"> Notn. 28/2017-CT</w:t>
      </w:r>
    </w:p>
  </w:footnote>
  <w:footnote w:id="4">
    <w:p w14:paraId="6B03DA9F" w14:textId="77777777" w:rsidR="00AB2922" w:rsidRDefault="00AB2922" w:rsidP="00AB2922">
      <w:pPr>
        <w:pStyle w:val="FootnoteText"/>
      </w:pPr>
      <w:r>
        <w:rPr>
          <w:rStyle w:val="FootnoteReference"/>
        </w:rPr>
        <w:footnoteRef/>
      </w:r>
      <w:r>
        <w:t xml:space="preserve"> Cir 7/7/2017 </w:t>
      </w:r>
    </w:p>
  </w:footnote>
  <w:footnote w:id="5">
    <w:p w14:paraId="707A4BED" w14:textId="04AFDCD6" w:rsidR="00E43234" w:rsidRDefault="00E43234">
      <w:pPr>
        <w:pStyle w:val="FootnoteText"/>
      </w:pPr>
      <w:r>
        <w:rPr>
          <w:rStyle w:val="FootnoteReference"/>
        </w:rPr>
        <w:footnoteRef/>
      </w:r>
      <w:r>
        <w:t xml:space="preserve"> Notn.35/2017-CT</w:t>
      </w:r>
    </w:p>
  </w:footnote>
  <w:footnote w:id="6">
    <w:p w14:paraId="2B029750" w14:textId="1F3591FF" w:rsidR="00E43234" w:rsidRDefault="00E43234">
      <w:pPr>
        <w:pStyle w:val="FootnoteText"/>
      </w:pPr>
      <w:r>
        <w:rPr>
          <w:rStyle w:val="FootnoteReference"/>
        </w:rPr>
        <w:footnoteRef/>
      </w:r>
      <w:r>
        <w:t xml:space="preserve"> Notn. 30/2017-CT</w:t>
      </w:r>
    </w:p>
  </w:footnote>
  <w:footnote w:id="7">
    <w:p w14:paraId="09A706DD" w14:textId="1A684AAB" w:rsidR="00413C06" w:rsidRDefault="00413C06">
      <w:pPr>
        <w:pStyle w:val="FootnoteText"/>
      </w:pPr>
      <w:r>
        <w:rPr>
          <w:rStyle w:val="FootnoteReference"/>
        </w:rPr>
        <w:footnoteRef/>
      </w:r>
      <w:r>
        <w:t xml:space="preserve"> Order 2,3/2017</w:t>
      </w:r>
    </w:p>
  </w:footnote>
  <w:footnote w:id="8">
    <w:p w14:paraId="513CC718" w14:textId="55712B75" w:rsidR="00413C06" w:rsidRDefault="00413C06">
      <w:pPr>
        <w:pStyle w:val="FootnoteText"/>
      </w:pPr>
      <w:r>
        <w:rPr>
          <w:rStyle w:val="FootnoteReference"/>
        </w:rPr>
        <w:footnoteRef/>
      </w:r>
      <w:r>
        <w:t xml:space="preserve"> Notn. 34/2017-CT</w:t>
      </w:r>
    </w:p>
  </w:footnote>
  <w:footnote w:id="9">
    <w:p w14:paraId="4AAA09CF" w14:textId="15403C50" w:rsidR="00947EDA" w:rsidRDefault="00947EDA">
      <w:pPr>
        <w:pStyle w:val="FootnoteText"/>
      </w:pPr>
      <w:r>
        <w:rPr>
          <w:rStyle w:val="FootnoteReference"/>
        </w:rPr>
        <w:footnoteRef/>
      </w:r>
      <w:r>
        <w:t xml:space="preserve"> </w:t>
      </w:r>
      <w:proofErr w:type="spellStart"/>
      <w:r>
        <w:t>Notn</w:t>
      </w:r>
      <w:proofErr w:type="spellEnd"/>
      <w:r>
        <w:t>. 27/2017 - CT(R)</w:t>
      </w:r>
    </w:p>
  </w:footnote>
  <w:footnote w:id="10">
    <w:p w14:paraId="511A29E1" w14:textId="5C567FAF" w:rsidR="00413C06" w:rsidRDefault="00413C06">
      <w:pPr>
        <w:pStyle w:val="FootnoteText"/>
      </w:pPr>
      <w:r>
        <w:rPr>
          <w:rStyle w:val="FootnoteReference"/>
        </w:rPr>
        <w:footnoteRef/>
      </w:r>
      <w:r>
        <w:t xml:space="preserve"> Notn.22/2017-CT</w:t>
      </w:r>
      <w:r w:rsidR="00947EDA">
        <w:t>(R)</w:t>
      </w:r>
    </w:p>
  </w:footnote>
  <w:footnote w:id="11">
    <w:p w14:paraId="4F04379C" w14:textId="540FF8C1" w:rsidR="00413C06" w:rsidRDefault="00413C06">
      <w:pPr>
        <w:pStyle w:val="FootnoteText"/>
      </w:pPr>
      <w:r>
        <w:rPr>
          <w:rStyle w:val="FootnoteReference"/>
        </w:rPr>
        <w:footnoteRef/>
      </w:r>
      <w:r>
        <w:t xml:space="preserve"> Notn.24/2017-CT</w:t>
      </w:r>
    </w:p>
  </w:footnote>
  <w:footnote w:id="12">
    <w:p w14:paraId="55FCC033" w14:textId="51920EB3" w:rsidR="0062482E" w:rsidRDefault="0062482E">
      <w:pPr>
        <w:pStyle w:val="FootnoteText"/>
      </w:pPr>
      <w:r>
        <w:rPr>
          <w:rStyle w:val="FootnoteReference"/>
        </w:rPr>
        <w:footnoteRef/>
      </w:r>
      <w:r>
        <w:t xml:space="preserve"> Notn.20/2017-CT(R)</w:t>
      </w:r>
    </w:p>
  </w:footnote>
  <w:footnote w:id="13">
    <w:p w14:paraId="4D99FADC" w14:textId="198DA8C9" w:rsidR="00157F05" w:rsidRDefault="00157F05">
      <w:pPr>
        <w:pStyle w:val="FootnoteText"/>
      </w:pPr>
      <w:r>
        <w:rPr>
          <w:rStyle w:val="FootnoteReference"/>
        </w:rPr>
        <w:footnoteRef/>
      </w:r>
      <w:r>
        <w:t xml:space="preserve"> Notn.11/2017-CT(R)</w:t>
      </w:r>
    </w:p>
  </w:footnote>
  <w:footnote w:id="14">
    <w:p w14:paraId="52C7706D" w14:textId="72121936" w:rsidR="00157F05" w:rsidRDefault="00157F05">
      <w:pPr>
        <w:pStyle w:val="FootnoteText"/>
      </w:pPr>
      <w:r>
        <w:rPr>
          <w:rStyle w:val="FootnoteReference"/>
        </w:rPr>
        <w:footnoteRef/>
      </w:r>
      <w:r>
        <w:t xml:space="preserve"> Sec 23</w:t>
      </w:r>
    </w:p>
  </w:footnote>
  <w:footnote w:id="15">
    <w:p w14:paraId="5A3AFFF2" w14:textId="4A5A4FF5" w:rsidR="00784877" w:rsidRDefault="00784877">
      <w:pPr>
        <w:pStyle w:val="FootnoteText"/>
      </w:pPr>
      <w:r>
        <w:rPr>
          <w:rStyle w:val="FootnoteReference"/>
        </w:rPr>
        <w:footnoteRef/>
      </w:r>
      <w:r>
        <w:t xml:space="preserve"> Notn.7/2017-Integrated</w:t>
      </w:r>
    </w:p>
  </w:footnote>
  <w:footnote w:id="16">
    <w:p w14:paraId="7BDBBAF4" w14:textId="50614B4F" w:rsidR="00784877" w:rsidRDefault="00784877">
      <w:pPr>
        <w:pStyle w:val="FootnoteText"/>
      </w:pPr>
      <w:r>
        <w:rPr>
          <w:rStyle w:val="FootnoteReference"/>
        </w:rPr>
        <w:footnoteRef/>
      </w:r>
      <w:r>
        <w:t xml:space="preserve"> Notn.8/2017-Integrated</w:t>
      </w:r>
    </w:p>
  </w:footnote>
  <w:footnote w:id="17">
    <w:p w14:paraId="04F69276" w14:textId="62E25271" w:rsidR="007911B7" w:rsidRDefault="007911B7">
      <w:pPr>
        <w:pStyle w:val="FootnoteText"/>
      </w:pPr>
      <w:r>
        <w:rPr>
          <w:rStyle w:val="FootnoteReference"/>
        </w:rPr>
        <w:footnoteRef/>
      </w:r>
      <w:r>
        <w:t xml:space="preserve"> Circular 5/5/2017 </w:t>
      </w:r>
    </w:p>
  </w:footnote>
  <w:footnote w:id="18">
    <w:p w14:paraId="1636349F" w14:textId="77777777" w:rsidR="00BD568B" w:rsidRDefault="00BD568B" w:rsidP="00BD568B">
      <w:pPr>
        <w:pStyle w:val="FootnoteText"/>
      </w:pPr>
      <w:r>
        <w:rPr>
          <w:rStyle w:val="FootnoteReference"/>
        </w:rPr>
        <w:footnoteRef/>
      </w:r>
      <w:r>
        <w:t xml:space="preserve"> Rule 96 of CGST Rules</w:t>
      </w:r>
    </w:p>
  </w:footnote>
  <w:footnote w:id="19">
    <w:p w14:paraId="1C580688" w14:textId="32D7C098" w:rsidR="00446874" w:rsidRDefault="00446874">
      <w:pPr>
        <w:pStyle w:val="FootnoteText"/>
      </w:pPr>
      <w:r>
        <w:rPr>
          <w:rStyle w:val="FootnoteReference"/>
        </w:rPr>
        <w:footnoteRef/>
      </w:r>
      <w:r>
        <w:t xml:space="preserve"> Press Release </w:t>
      </w:r>
      <w:proofErr w:type="spellStart"/>
      <w:r>
        <w:t>dt</w:t>
      </w:r>
      <w:proofErr w:type="spellEnd"/>
      <w:r>
        <w:t>/22 Sept 2017</w:t>
      </w:r>
      <w:bookmarkStart w:id="0" w:name="_GoBack"/>
      <w:bookmarkEnd w:id="0"/>
    </w:p>
  </w:footnote>
  <w:footnote w:id="20">
    <w:p w14:paraId="388D6ED6" w14:textId="77777777" w:rsidR="00BD568B" w:rsidRDefault="00BD568B" w:rsidP="00BD568B">
      <w:pPr>
        <w:pStyle w:val="FootnoteText"/>
      </w:pPr>
      <w:r>
        <w:rPr>
          <w:rStyle w:val="FootnoteReference"/>
        </w:rPr>
        <w:footnoteRef/>
      </w:r>
      <w:r>
        <w:t xml:space="preserve"> Press Release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B570D"/>
    <w:multiLevelType w:val="hybridMultilevel"/>
    <w:tmpl w:val="48FA01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spelling="clean" w:grammar="clean"/>
  <w:defaultTabStop w:val="720"/>
  <w:drawingGridHorizontalSpacing w:val="181"/>
  <w:drawingGridVerticalSpacing w:val="18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3E"/>
    <w:rsid w:val="00077EF0"/>
    <w:rsid w:val="00091B3E"/>
    <w:rsid w:val="000C5BCE"/>
    <w:rsid w:val="000E5815"/>
    <w:rsid w:val="0014440C"/>
    <w:rsid w:val="00157F05"/>
    <w:rsid w:val="001828B3"/>
    <w:rsid w:val="001A1D34"/>
    <w:rsid w:val="00272F21"/>
    <w:rsid w:val="002C1D82"/>
    <w:rsid w:val="002F229A"/>
    <w:rsid w:val="00356BA1"/>
    <w:rsid w:val="003837C6"/>
    <w:rsid w:val="003965F8"/>
    <w:rsid w:val="003E1F6D"/>
    <w:rsid w:val="00413C06"/>
    <w:rsid w:val="00446874"/>
    <w:rsid w:val="00495EE8"/>
    <w:rsid w:val="005B078A"/>
    <w:rsid w:val="005E0B46"/>
    <w:rsid w:val="005F0B4B"/>
    <w:rsid w:val="00602004"/>
    <w:rsid w:val="0060265F"/>
    <w:rsid w:val="006028BA"/>
    <w:rsid w:val="0062482E"/>
    <w:rsid w:val="00644D0E"/>
    <w:rsid w:val="00661C59"/>
    <w:rsid w:val="0068207E"/>
    <w:rsid w:val="006B0281"/>
    <w:rsid w:val="006D0835"/>
    <w:rsid w:val="006D739C"/>
    <w:rsid w:val="00750B77"/>
    <w:rsid w:val="00784877"/>
    <w:rsid w:val="00786148"/>
    <w:rsid w:val="007911B7"/>
    <w:rsid w:val="007D42FF"/>
    <w:rsid w:val="00847FBE"/>
    <w:rsid w:val="00896CC5"/>
    <w:rsid w:val="00916959"/>
    <w:rsid w:val="00947EDA"/>
    <w:rsid w:val="009C3B6C"/>
    <w:rsid w:val="00A3100A"/>
    <w:rsid w:val="00A31860"/>
    <w:rsid w:val="00A336FF"/>
    <w:rsid w:val="00A72F7C"/>
    <w:rsid w:val="00AB2922"/>
    <w:rsid w:val="00AC3E0F"/>
    <w:rsid w:val="00AF1836"/>
    <w:rsid w:val="00B22ABF"/>
    <w:rsid w:val="00B66773"/>
    <w:rsid w:val="00BD568B"/>
    <w:rsid w:val="00C41967"/>
    <w:rsid w:val="00C8550F"/>
    <w:rsid w:val="00CB2570"/>
    <w:rsid w:val="00D14A7C"/>
    <w:rsid w:val="00D236CE"/>
    <w:rsid w:val="00DB7DE9"/>
    <w:rsid w:val="00DE531E"/>
    <w:rsid w:val="00E05452"/>
    <w:rsid w:val="00E43234"/>
    <w:rsid w:val="00E9176B"/>
    <w:rsid w:val="00EC4543"/>
    <w:rsid w:val="00EC5E01"/>
    <w:rsid w:val="00F5628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E8121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6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43234"/>
  </w:style>
  <w:style w:type="character" w:customStyle="1" w:styleId="FootnoteTextChar">
    <w:name w:val="Footnote Text Char"/>
    <w:basedOn w:val="DefaultParagraphFont"/>
    <w:link w:val="FootnoteText"/>
    <w:uiPriority w:val="99"/>
    <w:rsid w:val="00E43234"/>
  </w:style>
  <w:style w:type="character" w:styleId="FootnoteReference">
    <w:name w:val="footnote reference"/>
    <w:basedOn w:val="DefaultParagraphFont"/>
    <w:uiPriority w:val="99"/>
    <w:unhideWhenUsed/>
    <w:rsid w:val="00E43234"/>
    <w:rPr>
      <w:vertAlign w:val="superscript"/>
    </w:rPr>
  </w:style>
  <w:style w:type="paragraph" w:styleId="ListParagraph">
    <w:name w:val="List Paragraph"/>
    <w:basedOn w:val="Normal"/>
    <w:uiPriority w:val="34"/>
    <w:qFormat/>
    <w:rsid w:val="007D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D2CB72-70E5-BE41-9294-3A1ADA8F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1470</Words>
  <Characters>8382</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 Ganapathy</dc:creator>
  <cp:keywords/>
  <dc:description/>
  <cp:lastModifiedBy>Srikanth Ganapathy</cp:lastModifiedBy>
  <cp:revision>4</cp:revision>
  <dcterms:created xsi:type="dcterms:W3CDTF">2017-09-26T12:33:00Z</dcterms:created>
  <dcterms:modified xsi:type="dcterms:W3CDTF">2017-09-27T03:29:00Z</dcterms:modified>
</cp:coreProperties>
</file>